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B111" w14:textId="5D32C8E2" w:rsidR="00F537F7" w:rsidRPr="00F70E94" w:rsidRDefault="007900E4" w:rsidP="007E13F0">
      <w:pPr>
        <w:pStyle w:val="Kop1"/>
      </w:pPr>
      <w:r>
        <w:t>C</w:t>
      </w:r>
      <w:r w:rsidR="003A3DB3" w:rsidRPr="00F70E94">
        <w:t xml:space="preserve">ategorieën </w:t>
      </w:r>
      <w:r w:rsidR="0003157C">
        <w:t>‘</w:t>
      </w:r>
      <w:r w:rsidR="003A3DB3" w:rsidRPr="00F70E94">
        <w:t xml:space="preserve">uitbreiding medische </w:t>
      </w:r>
      <w:r w:rsidR="00F70E94" w:rsidRPr="00F70E94">
        <w:t>indicatie</w:t>
      </w:r>
      <w:r w:rsidR="0003157C">
        <w:t>’</w:t>
      </w:r>
      <w:r w:rsidR="003A3DB3" w:rsidRPr="00F70E94">
        <w:t xml:space="preserve"> van een </w:t>
      </w:r>
      <w:proofErr w:type="spellStart"/>
      <w:r w:rsidR="003A3DB3" w:rsidRPr="00F70E94">
        <w:t>markttoegelaten</w:t>
      </w:r>
      <w:proofErr w:type="spellEnd"/>
      <w:r w:rsidR="003A3DB3" w:rsidRPr="00F70E94">
        <w:t xml:space="preserve"> product</w:t>
      </w:r>
    </w:p>
    <w:p w14:paraId="7B1F464E" w14:textId="77777777" w:rsidR="00F70E94" w:rsidRDefault="00F70E94"/>
    <w:p w14:paraId="174D7EB7" w14:textId="6EDB6FC3" w:rsidR="00F70E94" w:rsidRDefault="00F70E94" w:rsidP="007E13F0">
      <w:pPr>
        <w:pStyle w:val="Geenafstand"/>
      </w:pPr>
      <w:r w:rsidRPr="007E13F0">
        <w:rPr>
          <w:u w:val="single"/>
        </w:rPr>
        <w:t>Achtergrond</w:t>
      </w:r>
    </w:p>
    <w:p w14:paraId="4F2B9CC6" w14:textId="0CFCC16C" w:rsidR="007E13F0" w:rsidRDefault="007E13F0" w:rsidP="007E13F0">
      <w:pPr>
        <w:pStyle w:val="Geenafstand"/>
      </w:pPr>
      <w:r>
        <w:t xml:space="preserve">Vanuit de Technische Werkgroep Medische </w:t>
      </w:r>
      <w:proofErr w:type="spellStart"/>
      <w:r>
        <w:t>ggo’s</w:t>
      </w:r>
      <w:proofErr w:type="spellEnd"/>
      <w:r w:rsidR="00BD47FE">
        <w:rPr>
          <w:rStyle w:val="Voetnootmarkering"/>
        </w:rPr>
        <w:footnoteReference w:id="2"/>
      </w:r>
      <w:r>
        <w:t xml:space="preserve"> is de behoefte gebleken</w:t>
      </w:r>
      <w:r w:rsidR="00531B15">
        <w:t xml:space="preserve"> om klinische studies uit te voeren met een reeds tot de markt toegelaten product, waarbij dit product in de voorgenomen klinische studie wordt toegepast op een manier die </w:t>
      </w:r>
      <w:r w:rsidR="00FB31D7">
        <w:t>enigszins afwijkt van hetgeen omschreven is in de markttoelating.</w:t>
      </w:r>
    </w:p>
    <w:p w14:paraId="3C3B6579" w14:textId="77777777" w:rsidR="00FB31D7" w:rsidRDefault="00FB31D7" w:rsidP="007E13F0">
      <w:pPr>
        <w:pStyle w:val="Geenafstand"/>
      </w:pPr>
    </w:p>
    <w:p w14:paraId="0F1E118F" w14:textId="3F800539" w:rsidR="00FB31D7" w:rsidRDefault="00FB31D7" w:rsidP="007E13F0">
      <w:pPr>
        <w:pStyle w:val="Geenafstand"/>
      </w:pPr>
      <w:r>
        <w:t xml:space="preserve">Vanuit het </w:t>
      </w:r>
      <w:proofErr w:type="spellStart"/>
      <w:r>
        <w:t>Interplay</w:t>
      </w:r>
      <w:proofErr w:type="spellEnd"/>
      <w:r>
        <w:t xml:space="preserve"> traject </w:t>
      </w:r>
      <w:r w:rsidR="00101E11">
        <w:t xml:space="preserve">is er reeds een werkwijze opgesteld </w:t>
      </w:r>
      <w:r w:rsidR="00BD5368">
        <w:t>die</w:t>
      </w:r>
      <w:r w:rsidR="00101E11">
        <w:t xml:space="preserve"> door een aantal lidstaten wordt onderschreven waarbij </w:t>
      </w:r>
      <w:r w:rsidR="00494B33">
        <w:t>dergelijke klinische studies mogen worden uitgevoerd nadat deze zijn getoets</w:t>
      </w:r>
      <w:r w:rsidR="007F55D7">
        <w:t>t</w:t>
      </w:r>
      <w:r w:rsidR="00494B33">
        <w:t xml:space="preserve"> door de betreffende memberstate in een tijdsbestek van maximaal 30 dagen (</w:t>
      </w:r>
      <w:hyperlink r:id="rId11">
        <w:r w:rsidR="00576ACE" w:rsidRPr="14198D47">
          <w:rPr>
            <w:rStyle w:val="Hyperlink"/>
          </w:rPr>
          <w:t>https://ec.europa.eu/health/system/files/2019-10/gmcells_qa_en_0.pdf</w:t>
        </w:r>
      </w:hyperlink>
      <w:r w:rsidR="00576ACE">
        <w:t xml:space="preserve">; onderdeel </w:t>
      </w:r>
      <w:r w:rsidR="006012F3">
        <w:t>4</w:t>
      </w:r>
      <w:r w:rsidR="00494B33">
        <w:t>)</w:t>
      </w:r>
      <w:r w:rsidR="006012F3">
        <w:t xml:space="preserve">. </w:t>
      </w:r>
      <w:r w:rsidR="00F9664C" w:rsidRPr="00983331">
        <w:t xml:space="preserve">Situaties die in aanmerking komen voor deze </w:t>
      </w:r>
      <w:r w:rsidR="00983331" w:rsidRPr="00983331">
        <w:t>procedure zijn a</w:t>
      </w:r>
      <w:r w:rsidR="00983331">
        <w:t>ls bijlage</w:t>
      </w:r>
      <w:r w:rsidR="00C46F86">
        <w:t xml:space="preserve"> 1</w:t>
      </w:r>
      <w:r w:rsidR="00983331">
        <w:t xml:space="preserve"> toegevoegd aan het eind van dit document.</w:t>
      </w:r>
      <w:r w:rsidR="001208DC">
        <w:t xml:space="preserve"> In deze procedure legt een sponsor</w:t>
      </w:r>
      <w:r w:rsidR="00BD47FE">
        <w:rPr>
          <w:rStyle w:val="Voetnootmarkering"/>
        </w:rPr>
        <w:footnoteReference w:id="3"/>
      </w:r>
      <w:r w:rsidR="001208DC">
        <w:t xml:space="preserve"> </w:t>
      </w:r>
      <w:r w:rsidR="00DD6884">
        <w:t>zijn voorgenomen wijzigingen</w:t>
      </w:r>
      <w:r w:rsidR="007F55D7">
        <w:t>/werkzaamheden</w:t>
      </w:r>
      <w:r w:rsidR="00DD6884">
        <w:t xml:space="preserve"> voor aan de betreffende lidstaat </w:t>
      </w:r>
      <w:r w:rsidR="004C4D43">
        <w:t>die</w:t>
      </w:r>
      <w:r w:rsidR="00DD6884">
        <w:t xml:space="preserve"> binnen 30 dagen aangeeft of de lidstaat er wel of niet mee eens is dat </w:t>
      </w:r>
      <w:r w:rsidR="00185F8F">
        <w:t>deze</w:t>
      </w:r>
      <w:r w:rsidR="004C4D43">
        <w:t xml:space="preserve"> nieuwe/andere</w:t>
      </w:r>
      <w:r w:rsidR="00185F8F">
        <w:t xml:space="preserve"> toepassing geen additionele risico’s met zich meebrengt dan de risico’s die reeds beschreven zijn in de Summary of Product </w:t>
      </w:r>
      <w:proofErr w:type="spellStart"/>
      <w:r w:rsidR="00185F8F">
        <w:t>Characteristics</w:t>
      </w:r>
      <w:proofErr w:type="spellEnd"/>
      <w:r w:rsidR="00A82F2A">
        <w:t xml:space="preserve"> (</w:t>
      </w:r>
      <w:proofErr w:type="spellStart"/>
      <w:r w:rsidR="00A82F2A">
        <w:t>SmPC</w:t>
      </w:r>
      <w:proofErr w:type="spellEnd"/>
      <w:r w:rsidR="00A82F2A">
        <w:t>)</w:t>
      </w:r>
      <w:r w:rsidR="00FC0FA0">
        <w:t>. Indien er binnen 30 dagen geen reactie is van de competente autoriteit</w:t>
      </w:r>
      <w:r w:rsidR="004C4D43">
        <w:t xml:space="preserve"> van de betreffende lidstaat</w:t>
      </w:r>
      <w:r w:rsidR="00FC0FA0">
        <w:t xml:space="preserve"> wordt dit </w:t>
      </w:r>
      <w:r w:rsidR="007D6B44">
        <w:t>geïnterpreteerd als een instemming met het voorgestelde</w:t>
      </w:r>
      <w:r w:rsidR="00D9068B">
        <w:t xml:space="preserve"> </w:t>
      </w:r>
      <w:r w:rsidR="007D6B44">
        <w:t>(</w:t>
      </w:r>
      <w:proofErr w:type="spellStart"/>
      <w:r w:rsidR="007D6B44">
        <w:t>tacit</w:t>
      </w:r>
      <w:proofErr w:type="spellEnd"/>
      <w:r w:rsidR="007D6B44">
        <w:t xml:space="preserve"> agreement).</w:t>
      </w:r>
    </w:p>
    <w:p w14:paraId="62471CCB" w14:textId="751C4A60" w:rsidR="14198D47" w:rsidRDefault="14198D47" w:rsidP="14198D47">
      <w:pPr>
        <w:pStyle w:val="Geenafstand"/>
      </w:pPr>
      <w:r>
        <w:t xml:space="preserve">De bovenstaande werkwijze vanuit de </w:t>
      </w:r>
      <w:proofErr w:type="spellStart"/>
      <w:r>
        <w:t>Interplay</w:t>
      </w:r>
      <w:proofErr w:type="spellEnd"/>
      <w:r>
        <w:t xml:space="preserve"> werkgroep kan echter niet worden overgenomen in de Nederlandse (</w:t>
      </w:r>
      <w:proofErr w:type="spellStart"/>
      <w:r>
        <w:t>uitvoerings</w:t>
      </w:r>
      <w:proofErr w:type="spellEnd"/>
      <w:r>
        <w:t>)praktijk omdat in onze nationale (ggo-)regelgeving de juridische basis hiervoor ontbreekt.</w:t>
      </w:r>
    </w:p>
    <w:p w14:paraId="7CB6C9BD" w14:textId="7D35D683" w:rsidR="00983331" w:rsidRDefault="00983331" w:rsidP="007E13F0">
      <w:pPr>
        <w:pStyle w:val="Geenafstand"/>
      </w:pPr>
    </w:p>
    <w:p w14:paraId="520275E8" w14:textId="292BDBD8" w:rsidR="00983331" w:rsidRDefault="00F06486" w:rsidP="007E13F0">
      <w:pPr>
        <w:pStyle w:val="Geenafstand"/>
      </w:pPr>
      <w:r>
        <w:t>Het Ministerie van IenW heeft</w:t>
      </w:r>
      <w:r w:rsidR="00D9068B">
        <w:t xml:space="preserve"> op basis van verzoeken uit de bovengenoemde werkgroep</w:t>
      </w:r>
      <w:r>
        <w:t xml:space="preserve"> een werkwijze v</w:t>
      </w:r>
      <w:r w:rsidR="00BD47FE">
        <w:t>ast</w:t>
      </w:r>
      <w:r>
        <w:t>gesteld</w:t>
      </w:r>
      <w:r w:rsidR="00940F22">
        <w:t xml:space="preserve"> (gebaseerd op Artikel 3.1 van het Besluit ggo</w:t>
      </w:r>
      <w:r w:rsidR="00E8324B">
        <w:t xml:space="preserve"> 2013</w:t>
      </w:r>
      <w:r w:rsidR="00940F22">
        <w:t>)</w:t>
      </w:r>
      <w:r>
        <w:t xml:space="preserve"> waarbij klinische studies met </w:t>
      </w:r>
      <w:proofErr w:type="spellStart"/>
      <w:r>
        <w:t>markttoegelaten</w:t>
      </w:r>
      <w:proofErr w:type="spellEnd"/>
      <w:r>
        <w:t xml:space="preserve"> producten</w:t>
      </w:r>
      <w:r w:rsidR="0053385C">
        <w:rPr>
          <w:rStyle w:val="Voetnootmarkering"/>
        </w:rPr>
        <w:footnoteReference w:id="4"/>
      </w:r>
      <w:r w:rsidR="00BE310F">
        <w:t xml:space="preserve"> kunnen worden </w:t>
      </w:r>
      <w:r w:rsidR="00BE310F" w:rsidRPr="00CE6FC1">
        <w:t>uitgevoerd</w:t>
      </w:r>
      <w:r w:rsidR="00654D13">
        <w:t xml:space="preserve"> zonder dat hiervoor een </w:t>
      </w:r>
      <w:r w:rsidR="00FC1CE8">
        <w:t>IM-MV</w:t>
      </w:r>
      <w:r w:rsidR="00BD47FE">
        <w:t xml:space="preserve"> (Introductie in het Milieu – medisch veterinaire)</w:t>
      </w:r>
      <w:r w:rsidR="00FC1CE8">
        <w:t xml:space="preserve"> vergunning hoeft te worden aangevraagd. Voorwaarde is dat er </w:t>
      </w:r>
      <w:r w:rsidR="00507EB0">
        <w:t xml:space="preserve">geen additionele milieurisico’s bestaan </w:t>
      </w:r>
      <w:r w:rsidR="00301826">
        <w:t xml:space="preserve">bij de </w:t>
      </w:r>
      <w:r w:rsidR="00376EFB">
        <w:t>beoogde</w:t>
      </w:r>
      <w:r w:rsidR="00301826">
        <w:t xml:space="preserve"> werkzaamheden</w:t>
      </w:r>
      <w:r w:rsidR="00376EFB">
        <w:t xml:space="preserve"> met</w:t>
      </w:r>
      <w:r w:rsidR="00D84037">
        <w:t xml:space="preserve"> het </w:t>
      </w:r>
      <w:proofErr w:type="spellStart"/>
      <w:r w:rsidR="00D84037">
        <w:t>markttoegelaten</w:t>
      </w:r>
      <w:proofErr w:type="spellEnd"/>
      <w:r w:rsidR="00D84037">
        <w:t xml:space="preserve"> product</w:t>
      </w:r>
      <w:r w:rsidR="00376EFB">
        <w:t>.</w:t>
      </w:r>
      <w:r w:rsidR="0083100E">
        <w:t xml:space="preserve"> </w:t>
      </w:r>
      <w:r w:rsidR="003F7544">
        <w:t xml:space="preserve">Het is aan de </w:t>
      </w:r>
      <w:r w:rsidR="00E9767B">
        <w:t>uitvoerder</w:t>
      </w:r>
      <w:r w:rsidR="000624EF">
        <w:t>/gebruiker</w:t>
      </w:r>
      <w:r w:rsidR="00373FDC">
        <w:t xml:space="preserve"> (sponsor, </w:t>
      </w:r>
      <w:r w:rsidR="00B76EDB">
        <w:t xml:space="preserve">firma, </w:t>
      </w:r>
      <w:r w:rsidR="003F7544">
        <w:t>rechtspersoon</w:t>
      </w:r>
      <w:r w:rsidR="00373FDC">
        <w:t>)</w:t>
      </w:r>
      <w:r w:rsidR="003F7544">
        <w:t xml:space="preserve"> om deze </w:t>
      </w:r>
      <w:r w:rsidR="00BD47FE">
        <w:t>inschatting t</w:t>
      </w:r>
      <w:r w:rsidR="003F7544">
        <w:t>e maken</w:t>
      </w:r>
      <w:r w:rsidR="00E9767B">
        <w:t>,</w:t>
      </w:r>
      <w:r w:rsidR="00C30B24">
        <w:t xml:space="preserve"> en de</w:t>
      </w:r>
      <w:r w:rsidR="00E51EA0">
        <w:t xml:space="preserve">ze uitvoerder is </w:t>
      </w:r>
      <w:r w:rsidR="00844CC1">
        <w:t xml:space="preserve">verantwoordelijk voor </w:t>
      </w:r>
      <w:r w:rsidR="00D34582">
        <w:t xml:space="preserve">de gevolgen van de </w:t>
      </w:r>
      <w:r w:rsidR="002373EE">
        <w:t>beoogde klinische studie</w:t>
      </w:r>
      <w:r w:rsidR="00492D33">
        <w:t xml:space="preserve"> en eventuele additionele milieurisico’s, mochten deze toch blijken te bestaan.</w:t>
      </w:r>
    </w:p>
    <w:p w14:paraId="06A954D0" w14:textId="77777777" w:rsidR="0083100E" w:rsidRDefault="0083100E" w:rsidP="007E13F0">
      <w:pPr>
        <w:pStyle w:val="Geenafstand"/>
      </w:pPr>
    </w:p>
    <w:p w14:paraId="35CD3EC0" w14:textId="48058DD1" w:rsidR="00652D70" w:rsidRDefault="001F6C16" w:rsidP="007E13F0">
      <w:pPr>
        <w:pStyle w:val="Geenafstand"/>
      </w:pPr>
      <w:r>
        <w:t xml:space="preserve">Om </w:t>
      </w:r>
      <w:r w:rsidR="00B76EDB">
        <w:t>te duiden</w:t>
      </w:r>
      <w:r w:rsidR="00A9072D">
        <w:t xml:space="preserve"> welke </w:t>
      </w:r>
      <w:r w:rsidR="00275BC9">
        <w:t>toepassing</w:t>
      </w:r>
      <w:r w:rsidR="00784EC5">
        <w:t>en</w:t>
      </w:r>
      <w:r w:rsidR="00275BC9">
        <w:t xml:space="preserve"> onder deze werkwijze vallen </w:t>
      </w:r>
      <w:r w:rsidR="00492D33">
        <w:t>zij</w:t>
      </w:r>
      <w:r w:rsidR="00B76EDB">
        <w:t xml:space="preserve">n vanuit </w:t>
      </w:r>
      <w:r w:rsidR="00492D33">
        <w:t xml:space="preserve">het ministerie van IenW </w:t>
      </w:r>
      <w:r w:rsidR="00B76EDB">
        <w:t>kaders opgesteld</w:t>
      </w:r>
      <w:r w:rsidR="0086515C">
        <w:t>.</w:t>
      </w:r>
    </w:p>
    <w:p w14:paraId="13756E05" w14:textId="02F580DF" w:rsidR="003163BA" w:rsidRDefault="16B7BD5E" w:rsidP="007E13F0">
      <w:pPr>
        <w:pStyle w:val="Geenafstand"/>
      </w:pPr>
      <w:r>
        <w:t xml:space="preserve">Deze kaders zijn bedoeld als informatie voor de uitvoerders/gebruikers en de ILT. </w:t>
      </w:r>
    </w:p>
    <w:p w14:paraId="63346E2C" w14:textId="2D5541D6" w:rsidR="003163BA" w:rsidRDefault="16B7BD5E" w:rsidP="007E13F0">
      <w:pPr>
        <w:pStyle w:val="Geenafstand"/>
      </w:pPr>
      <w:r>
        <w:t xml:space="preserve">Aangezien er geen </w:t>
      </w:r>
      <w:r w:rsidR="009B2DC1">
        <w:t>formele</w:t>
      </w:r>
      <w:r w:rsidR="00BD47FE">
        <w:t xml:space="preserve"> juridische</w:t>
      </w:r>
      <w:r w:rsidR="009B2DC1">
        <w:t xml:space="preserve"> </w:t>
      </w:r>
      <w:r>
        <w:t>procedure is</w:t>
      </w:r>
      <w:r w:rsidR="00CE6D77">
        <w:t xml:space="preserve"> en</w:t>
      </w:r>
      <w:r>
        <w:t xml:space="preserve"> er geen toetsing plaatsvindt door BGGO</w:t>
      </w:r>
      <w:r w:rsidR="00CE6D77">
        <w:t>,</w:t>
      </w:r>
      <w:r>
        <w:t xml:space="preserve"> heeft BGGO verder geen rol dan te adviseren over mogelijke kaders.</w:t>
      </w:r>
    </w:p>
    <w:p w14:paraId="0A370F02" w14:textId="77777777" w:rsidR="004B6753" w:rsidRDefault="004B6753" w:rsidP="007E13F0">
      <w:pPr>
        <w:pStyle w:val="Geenafstand"/>
      </w:pPr>
    </w:p>
    <w:p w14:paraId="7F433CBE" w14:textId="7B23B235" w:rsidR="003163BA" w:rsidRDefault="003163BA" w:rsidP="007E13F0">
      <w:pPr>
        <w:pStyle w:val="Geenafstand"/>
      </w:pPr>
      <w:proofErr w:type="spellStart"/>
      <w:r>
        <w:rPr>
          <w:u w:val="single"/>
        </w:rPr>
        <w:t>Afkadering</w:t>
      </w:r>
      <w:proofErr w:type="spellEnd"/>
      <w:r>
        <w:rPr>
          <w:u w:val="single"/>
        </w:rPr>
        <w:t xml:space="preserve"> toepassingen </w:t>
      </w:r>
    </w:p>
    <w:p w14:paraId="4B6D5CCC" w14:textId="77777777" w:rsidR="00542142" w:rsidRDefault="00542142" w:rsidP="007E13F0">
      <w:pPr>
        <w:pStyle w:val="Geenafstand"/>
      </w:pPr>
    </w:p>
    <w:p w14:paraId="12FC492C" w14:textId="7C7D3CCF" w:rsidR="006464F9" w:rsidRDefault="00B129C2" w:rsidP="007E13F0">
      <w:pPr>
        <w:pStyle w:val="Geenafstand"/>
      </w:pPr>
      <w:r>
        <w:t>Voor alle beoogde werkzaamheden geldt</w:t>
      </w:r>
      <w:r w:rsidR="00704030">
        <w:t xml:space="preserve"> dat</w:t>
      </w:r>
      <w:r w:rsidR="00E86B95">
        <w:t>:</w:t>
      </w:r>
    </w:p>
    <w:p w14:paraId="1D86F469" w14:textId="3ACB7853" w:rsidR="009D59AD" w:rsidRDefault="00CE1952" w:rsidP="00704030">
      <w:pPr>
        <w:pStyle w:val="Geenafstand"/>
        <w:numPr>
          <w:ilvl w:val="0"/>
          <w:numId w:val="3"/>
        </w:numPr>
      </w:pPr>
      <w:r>
        <w:lastRenderedPageBreak/>
        <w:t xml:space="preserve">Het een </w:t>
      </w:r>
      <w:r w:rsidR="009C6CC1">
        <w:t>ggo-product betreft dat tot de Europese markt is toegelaten</w:t>
      </w:r>
      <w:r w:rsidR="00132C83">
        <w:t xml:space="preserve"> middels een EMA handel</w:t>
      </w:r>
      <w:r w:rsidR="00190B3D">
        <w:t>s</w:t>
      </w:r>
      <w:r w:rsidR="00132C83">
        <w:t>vergunning</w:t>
      </w:r>
      <w:r w:rsidR="009B2DC1">
        <w:t>;</w:t>
      </w:r>
      <w:r w:rsidR="00AD1AE4">
        <w:t xml:space="preserve"> </w:t>
      </w:r>
    </w:p>
    <w:p w14:paraId="3E8E5C0E" w14:textId="0F014A5B" w:rsidR="0012255A" w:rsidRDefault="0012255A" w:rsidP="00704030">
      <w:pPr>
        <w:pStyle w:val="Geenafstand"/>
        <w:numPr>
          <w:ilvl w:val="0"/>
          <w:numId w:val="3"/>
        </w:numPr>
      </w:pPr>
      <w:r>
        <w:t xml:space="preserve">Er geen </w:t>
      </w:r>
      <w:r w:rsidR="004F4B62">
        <w:t>additionele risico’s voor menselijke gezondheid en het milieu</w:t>
      </w:r>
      <w:r w:rsidR="004F199C">
        <w:t xml:space="preserve"> </w:t>
      </w:r>
      <w:r w:rsidR="00A006EE">
        <w:t>voortvloeien uit de beoogde klinische studie</w:t>
      </w:r>
      <w:r w:rsidR="00E86B95">
        <w:t>/ het beoogde klinische gebruik</w:t>
      </w:r>
      <w:r w:rsidR="00A006EE">
        <w:t>;</w:t>
      </w:r>
    </w:p>
    <w:p w14:paraId="600986FB" w14:textId="19F40897" w:rsidR="00704030" w:rsidRDefault="00704030" w:rsidP="00704030">
      <w:pPr>
        <w:pStyle w:val="Geenafstand"/>
        <w:numPr>
          <w:ilvl w:val="0"/>
          <w:numId w:val="3"/>
        </w:numPr>
      </w:pPr>
      <w:r>
        <w:t>De uitvoerende partij(en) verantwoordelijk is</w:t>
      </w:r>
      <w:r w:rsidR="00BD47FE">
        <w:t>/zijn</w:t>
      </w:r>
      <w:r>
        <w:t xml:space="preserve"> </w:t>
      </w:r>
      <w:r w:rsidR="009B2DC1">
        <w:t>om te</w:t>
      </w:r>
      <w:r w:rsidR="00B8633B">
        <w:t xml:space="preserve"> bepalen of beoogde werkzaamheden </w:t>
      </w:r>
      <w:r w:rsidR="000B6C1C">
        <w:t xml:space="preserve">aangaande de </w:t>
      </w:r>
      <w:r w:rsidR="00E6313D">
        <w:t>voorgenomen klinische studie met het</w:t>
      </w:r>
      <w:r w:rsidR="009B2DC1">
        <w:t xml:space="preserve"> reeds</w:t>
      </w:r>
      <w:r w:rsidR="00E6313D">
        <w:t xml:space="preserve"> </w:t>
      </w:r>
      <w:proofErr w:type="spellStart"/>
      <w:r w:rsidR="004B0969">
        <w:t>markttoegelaten</w:t>
      </w:r>
      <w:proofErr w:type="spellEnd"/>
      <w:r w:rsidR="004B0969">
        <w:t xml:space="preserve"> </w:t>
      </w:r>
      <w:proofErr w:type="spellStart"/>
      <w:r w:rsidR="00541787">
        <w:t>ggo</w:t>
      </w:r>
      <w:proofErr w:type="spellEnd"/>
      <w:r w:rsidR="00541787">
        <w:t>-</w:t>
      </w:r>
      <w:r w:rsidR="004B0969">
        <w:t>product</w:t>
      </w:r>
      <w:r w:rsidR="00541787">
        <w:t xml:space="preserve"> (hierna: medisch product)</w:t>
      </w:r>
      <w:r w:rsidR="00EC5DA3">
        <w:t xml:space="preserve"> geen </w:t>
      </w:r>
      <w:r w:rsidR="16B7BD5E">
        <w:t xml:space="preserve">(additionele) </w:t>
      </w:r>
      <w:r w:rsidR="003C116B">
        <w:t>risico’s voor menselijke gezondheid en het milieu</w:t>
      </w:r>
      <w:r w:rsidR="00074776">
        <w:t xml:space="preserve"> met zich meebrengen</w:t>
      </w:r>
      <w:r w:rsidR="001A3602">
        <w:t>, daarbij in beschouwing genomen eventuele worst case scenario’s</w:t>
      </w:r>
      <w:r w:rsidR="009D59AD">
        <w:t>;</w:t>
      </w:r>
    </w:p>
    <w:p w14:paraId="09B5F053" w14:textId="195A8AFA" w:rsidR="00074776" w:rsidRPr="006464F9" w:rsidRDefault="005E5BC8" w:rsidP="00704030">
      <w:pPr>
        <w:pStyle w:val="Geenafstand"/>
        <w:numPr>
          <w:ilvl w:val="0"/>
          <w:numId w:val="3"/>
        </w:numPr>
      </w:pPr>
      <w:r>
        <w:t xml:space="preserve">De </w:t>
      </w:r>
      <w:r w:rsidR="008076F1">
        <w:t xml:space="preserve">in de handelsvergunning </w:t>
      </w:r>
      <w:r w:rsidR="007F0ED2">
        <w:t>beschreven</w:t>
      </w:r>
      <w:r w:rsidR="0060379A">
        <w:t xml:space="preserve"> voorwaarden,</w:t>
      </w:r>
      <w:r w:rsidR="007F0ED2">
        <w:t xml:space="preserve"> </w:t>
      </w:r>
      <w:r>
        <w:t>voorzorgsmaatregelen en risicobeheersmaatregelen die</w:t>
      </w:r>
      <w:r w:rsidR="00E4464E">
        <w:t xml:space="preserve"> noodzakelijk zijn om </w:t>
      </w:r>
      <w:r w:rsidR="00983AF6">
        <w:t>mogelijke risico’s voor menselijke gezondheid en het milieu</w:t>
      </w:r>
      <w:r w:rsidR="0060379A">
        <w:t xml:space="preserve"> te minimaliseren door de uitvoerder in acht worden genomen</w:t>
      </w:r>
      <w:r w:rsidR="009D59AD">
        <w:t>.</w:t>
      </w:r>
    </w:p>
    <w:p w14:paraId="2D15AB8C" w14:textId="77777777" w:rsidR="00652D70" w:rsidRDefault="00652D70" w:rsidP="007E13F0">
      <w:pPr>
        <w:pStyle w:val="Geenafstand"/>
      </w:pPr>
    </w:p>
    <w:p w14:paraId="53524DF2" w14:textId="25B1FE53" w:rsidR="001F6C16" w:rsidRDefault="008A06D6" w:rsidP="007E13F0">
      <w:pPr>
        <w:pStyle w:val="Geenafstand"/>
      </w:pPr>
      <w:r>
        <w:t xml:space="preserve">De volgende kaders zijn opgesteld </w:t>
      </w:r>
      <w:r w:rsidR="16B7BD5E">
        <w:t xml:space="preserve">vanuit het oogpunt van milieurisico's. </w:t>
      </w:r>
      <w:r w:rsidR="00EB49BD">
        <w:t>I</w:t>
      </w:r>
      <w:r w:rsidR="16B7BD5E">
        <w:t xml:space="preserve">ngeschat </w:t>
      </w:r>
      <w:r w:rsidR="00EB49BD">
        <w:t xml:space="preserve">wordt </w:t>
      </w:r>
      <w:r w:rsidR="16B7BD5E">
        <w:t xml:space="preserve">dat deze </w:t>
      </w:r>
      <w:r w:rsidR="00EB49BD">
        <w:t xml:space="preserve">kaders </w:t>
      </w:r>
      <w:r w:rsidR="16B7BD5E">
        <w:t xml:space="preserve">geen additioneel milieurisico opleveren ten opzichte van de al uitgevoerde milieurisicobeoordeling bij de markttoelating. </w:t>
      </w:r>
      <w:r w:rsidR="00CE6D77">
        <w:t>D</w:t>
      </w:r>
      <w:r w:rsidR="16B7BD5E">
        <w:t xml:space="preserve">eze kaders kunnen </w:t>
      </w:r>
      <w:r w:rsidR="00EF33AD">
        <w:t xml:space="preserve">door uitvoerders / gebruikers </w:t>
      </w:r>
      <w:r w:rsidR="00CE6D77">
        <w:t xml:space="preserve">worden </w:t>
      </w:r>
      <w:r w:rsidR="009B2DC1">
        <w:t xml:space="preserve">ingezet </w:t>
      </w:r>
      <w:r w:rsidR="00EE5D8C">
        <w:t xml:space="preserve">om </w:t>
      </w:r>
      <w:r w:rsidR="00EF33AD">
        <w:t xml:space="preserve">in te schatten </w:t>
      </w:r>
      <w:r w:rsidR="00C12266">
        <w:t>of</w:t>
      </w:r>
      <w:r w:rsidR="00204D20">
        <w:t xml:space="preserve"> klinische studies </w:t>
      </w:r>
      <w:r w:rsidR="009D156F">
        <w:t>met</w:t>
      </w:r>
      <w:r w:rsidR="00C12266">
        <w:t xml:space="preserve"> een</w:t>
      </w:r>
      <w:r w:rsidR="00AF1DAA">
        <w:t xml:space="preserve"> </w:t>
      </w:r>
      <w:r w:rsidR="00492D33">
        <w:t>(</w:t>
      </w:r>
      <w:r w:rsidR="00AF1DAA">
        <w:t>tot de markt toegelaten</w:t>
      </w:r>
      <w:r w:rsidR="00492D33">
        <w:t>)</w:t>
      </w:r>
      <w:r w:rsidR="00C12266">
        <w:t xml:space="preserve"> </w:t>
      </w:r>
      <w:r w:rsidR="00DA1114">
        <w:t>medisch product</w:t>
      </w:r>
      <w:r w:rsidR="00983F00">
        <w:t xml:space="preserve"> </w:t>
      </w:r>
      <w:r w:rsidR="00BF7499">
        <w:t xml:space="preserve">mogen worden uitgevoerd in Nederland zonder hiervoor een </w:t>
      </w:r>
      <w:r w:rsidR="00D60BE8">
        <w:t xml:space="preserve">vergunning </w:t>
      </w:r>
      <w:r w:rsidR="00D323E2">
        <w:t xml:space="preserve">(dan wel verzoek tot wijziging van een vergunning) </w:t>
      </w:r>
      <w:r w:rsidR="004548F6">
        <w:t xml:space="preserve">voor Introductie in het Milieu aan </w:t>
      </w:r>
      <w:r w:rsidR="00105419">
        <w:t>te vragen</w:t>
      </w:r>
      <w:r w:rsidR="00EF33AD">
        <w:t xml:space="preserve">. </w:t>
      </w:r>
      <w:r w:rsidR="00EB49BD">
        <w:t>D</w:t>
      </w:r>
      <w:r w:rsidR="00EF33AD">
        <w:t xml:space="preserve">e verantwoordelijkheid </w:t>
      </w:r>
      <w:r w:rsidR="00EB49BD">
        <w:t xml:space="preserve">voor een goede afweging ligt </w:t>
      </w:r>
      <w:r w:rsidR="00EF33AD">
        <w:t xml:space="preserve">bij de uitvoerder / gebruiker. Bij twijfel kan alsnog een aanvraag voor een (wijziging van een) vergunning in worden gediend. </w:t>
      </w:r>
    </w:p>
    <w:p w14:paraId="297D5B8B" w14:textId="77777777" w:rsidR="00BA4B59" w:rsidRDefault="00CD6287" w:rsidP="0002362F">
      <w:pPr>
        <w:pStyle w:val="Geenafstand"/>
        <w:numPr>
          <w:ilvl w:val="0"/>
          <w:numId w:val="4"/>
        </w:numPr>
      </w:pPr>
      <w:r>
        <w:t xml:space="preserve">Een verandering in de </w:t>
      </w:r>
      <w:r w:rsidR="00F9282C">
        <w:t xml:space="preserve">lijn in de gezondheidszorg waarbij het </w:t>
      </w:r>
      <w:r w:rsidR="00983F00">
        <w:t>medisch product</w:t>
      </w:r>
      <w:r w:rsidR="00BA4B59">
        <w:t xml:space="preserve"> kan worden toegepast.</w:t>
      </w:r>
    </w:p>
    <w:p w14:paraId="75475B03" w14:textId="0FAE1C40" w:rsidR="00BA4B59" w:rsidRPr="00BA4B59" w:rsidRDefault="00BA4B59" w:rsidP="00BA4B59">
      <w:pPr>
        <w:pStyle w:val="Geenafstand"/>
        <w:ind w:left="720"/>
        <w:rPr>
          <w:i/>
          <w:iCs/>
        </w:rPr>
      </w:pPr>
      <w:r>
        <w:rPr>
          <w:i/>
          <w:iCs/>
        </w:rPr>
        <w:t xml:space="preserve">Bijvoorbeeld: </w:t>
      </w:r>
      <w:r w:rsidR="00F83F1C">
        <w:rPr>
          <w:i/>
          <w:iCs/>
        </w:rPr>
        <w:t xml:space="preserve">in de markttoelating staat dat een product </w:t>
      </w:r>
      <w:r w:rsidR="00D6005B">
        <w:rPr>
          <w:i/>
          <w:iCs/>
        </w:rPr>
        <w:t xml:space="preserve">enkel </w:t>
      </w:r>
      <w:r w:rsidR="005B69F5">
        <w:rPr>
          <w:i/>
          <w:iCs/>
        </w:rPr>
        <w:t xml:space="preserve">wordt toegepast </w:t>
      </w:r>
      <w:r w:rsidR="0068504C">
        <w:rPr>
          <w:i/>
          <w:iCs/>
        </w:rPr>
        <w:t>in</w:t>
      </w:r>
      <w:r w:rsidR="001257B5">
        <w:rPr>
          <w:i/>
          <w:iCs/>
        </w:rPr>
        <w:t xml:space="preserve"> de </w:t>
      </w:r>
      <w:r w:rsidR="00627072">
        <w:rPr>
          <w:i/>
          <w:iCs/>
        </w:rPr>
        <w:t>derde</w:t>
      </w:r>
      <w:r w:rsidR="001257B5">
        <w:rPr>
          <w:i/>
          <w:iCs/>
        </w:rPr>
        <w:t xml:space="preserve"> lijn. In de </w:t>
      </w:r>
      <w:r w:rsidR="004735A7">
        <w:rPr>
          <w:i/>
          <w:iCs/>
        </w:rPr>
        <w:t>klinische studie worden ook patiënten in de tweedelijns zorg behandeld.</w:t>
      </w:r>
      <w:r w:rsidR="00F12902">
        <w:rPr>
          <w:rStyle w:val="Voetnootmarkering"/>
          <w:i/>
          <w:iCs/>
        </w:rPr>
        <w:footnoteReference w:id="5"/>
      </w:r>
    </w:p>
    <w:p w14:paraId="368C8E55" w14:textId="6AC80509" w:rsidR="00105419" w:rsidRDefault="00063A7E" w:rsidP="0002362F">
      <w:pPr>
        <w:pStyle w:val="Geenafstand"/>
        <w:numPr>
          <w:ilvl w:val="0"/>
          <w:numId w:val="4"/>
        </w:numPr>
      </w:pPr>
      <w:r>
        <w:t xml:space="preserve">Wijziging in de </w:t>
      </w:r>
      <w:r w:rsidR="007A1142">
        <w:t>leeftijdscategorie</w:t>
      </w:r>
      <w:r>
        <w:t xml:space="preserve"> van de patiënt aan wie het medisch product wordt toegediend</w:t>
      </w:r>
      <w:r w:rsidR="007C5199">
        <w:t>.</w:t>
      </w:r>
    </w:p>
    <w:p w14:paraId="4BA793F7" w14:textId="5EED42D0" w:rsidR="007A1142" w:rsidRPr="007A1142" w:rsidRDefault="007A1142" w:rsidP="007A1142">
      <w:pPr>
        <w:pStyle w:val="Geenafstand"/>
        <w:ind w:left="720"/>
        <w:rPr>
          <w:i/>
          <w:iCs/>
        </w:rPr>
      </w:pPr>
      <w:r w:rsidRPr="007A1142">
        <w:rPr>
          <w:i/>
          <w:iCs/>
        </w:rPr>
        <w:t>Bijvoorbeeld:</w:t>
      </w:r>
      <w:r>
        <w:rPr>
          <w:i/>
          <w:iCs/>
        </w:rPr>
        <w:t xml:space="preserve"> </w:t>
      </w:r>
      <w:r w:rsidR="00F12902">
        <w:rPr>
          <w:i/>
          <w:iCs/>
        </w:rPr>
        <w:t>volgens de</w:t>
      </w:r>
      <w:r>
        <w:rPr>
          <w:i/>
          <w:iCs/>
        </w:rPr>
        <w:t xml:space="preserve"> markttoelating mogen volwassenen worden behandeld met </w:t>
      </w:r>
      <w:r w:rsidR="005D6EBF">
        <w:rPr>
          <w:i/>
          <w:iCs/>
        </w:rPr>
        <w:t xml:space="preserve">een medisch product dat </w:t>
      </w:r>
      <w:r w:rsidR="005B19C3">
        <w:rPr>
          <w:i/>
          <w:iCs/>
        </w:rPr>
        <w:t>genetisch gemodificeerde cellen bevat</w:t>
      </w:r>
      <w:r w:rsidR="005D6EBF">
        <w:rPr>
          <w:i/>
          <w:iCs/>
        </w:rPr>
        <w:t>.</w:t>
      </w:r>
      <w:r w:rsidR="005B19C3">
        <w:rPr>
          <w:i/>
          <w:iCs/>
        </w:rPr>
        <w:t xml:space="preserve"> In de klinische studie worden ook kinderen </w:t>
      </w:r>
      <w:r w:rsidR="00F12902">
        <w:rPr>
          <w:i/>
          <w:iCs/>
        </w:rPr>
        <w:t xml:space="preserve">in de leeftijd 12-18 jaar </w:t>
      </w:r>
      <w:r w:rsidR="005B19C3">
        <w:rPr>
          <w:i/>
          <w:iCs/>
        </w:rPr>
        <w:t>behandeld</w:t>
      </w:r>
      <w:r w:rsidR="00F12902">
        <w:rPr>
          <w:i/>
          <w:iCs/>
        </w:rPr>
        <w:t xml:space="preserve">. </w:t>
      </w:r>
    </w:p>
    <w:p w14:paraId="0E6205A2" w14:textId="4F290A0A" w:rsidR="00063A7E" w:rsidRDefault="009B5CA8" w:rsidP="0002362F">
      <w:pPr>
        <w:pStyle w:val="Geenafstand"/>
        <w:numPr>
          <w:ilvl w:val="0"/>
          <w:numId w:val="4"/>
        </w:numPr>
      </w:pPr>
      <w:r w:rsidRPr="009B5CA8">
        <w:t xml:space="preserve">Een verandering van </w:t>
      </w:r>
      <w:r w:rsidR="00902756" w:rsidRPr="009B5CA8">
        <w:t>de doelpopulatie</w:t>
      </w:r>
      <w:r w:rsidR="00902756">
        <w:t xml:space="preserve"> </w:t>
      </w:r>
      <w:r w:rsidR="00D249AE">
        <w:t>(andere medische indicatie)</w:t>
      </w:r>
      <w:r w:rsidRPr="009B5CA8">
        <w:t xml:space="preserve"> </w:t>
      </w:r>
      <w:r>
        <w:t>van patiënten</w:t>
      </w:r>
      <w:r w:rsidRPr="009B5CA8">
        <w:t xml:space="preserve"> waaraan het </w:t>
      </w:r>
      <w:r>
        <w:t>medisch product</w:t>
      </w:r>
      <w:r w:rsidRPr="009B5CA8">
        <w:t xml:space="preserve"> wordt toegediend</w:t>
      </w:r>
      <w:r w:rsidR="00504AD2">
        <w:t>.</w:t>
      </w:r>
    </w:p>
    <w:p w14:paraId="3C007FA1" w14:textId="3673E058" w:rsidR="009B5CA8" w:rsidRDefault="009B5CA8" w:rsidP="009B5CA8">
      <w:pPr>
        <w:pStyle w:val="Geenafstand"/>
        <w:ind w:left="720"/>
        <w:rPr>
          <w:i/>
          <w:iCs/>
        </w:rPr>
      </w:pPr>
      <w:r>
        <w:rPr>
          <w:i/>
          <w:iCs/>
        </w:rPr>
        <w:t>Bijvoorbeeld</w:t>
      </w:r>
      <w:r w:rsidR="000D0138">
        <w:rPr>
          <w:i/>
          <w:iCs/>
        </w:rPr>
        <w:t xml:space="preserve">: </w:t>
      </w:r>
      <w:r w:rsidR="00F12902">
        <w:rPr>
          <w:i/>
          <w:iCs/>
        </w:rPr>
        <w:t xml:space="preserve">volgens de </w:t>
      </w:r>
      <w:r w:rsidR="000D0138">
        <w:rPr>
          <w:i/>
          <w:iCs/>
        </w:rPr>
        <w:t xml:space="preserve"> markttoelating mogen patiënten met Acute Lymfatische Leukemie worden behandeld</w:t>
      </w:r>
      <w:r w:rsidR="00E2118B">
        <w:rPr>
          <w:i/>
          <w:iCs/>
        </w:rPr>
        <w:t>. In de klinische studie word</w:t>
      </w:r>
      <w:r w:rsidR="007D3757">
        <w:rPr>
          <w:i/>
          <w:iCs/>
        </w:rPr>
        <w:t>t het medisch product toegedien</w:t>
      </w:r>
      <w:r w:rsidR="007A1142">
        <w:rPr>
          <w:i/>
          <w:iCs/>
        </w:rPr>
        <w:t>d</w:t>
      </w:r>
      <w:r w:rsidR="007D3757">
        <w:rPr>
          <w:i/>
          <w:iCs/>
        </w:rPr>
        <w:t xml:space="preserve"> aan</w:t>
      </w:r>
      <w:r w:rsidR="00E2118B">
        <w:rPr>
          <w:i/>
          <w:iCs/>
        </w:rPr>
        <w:t xml:space="preserve"> patiënten met </w:t>
      </w:r>
      <w:r w:rsidR="007A1142">
        <w:rPr>
          <w:i/>
          <w:iCs/>
        </w:rPr>
        <w:t>een andere vorm van le</w:t>
      </w:r>
      <w:r w:rsidR="007D3757">
        <w:rPr>
          <w:i/>
          <w:iCs/>
        </w:rPr>
        <w:t>ukemie.</w:t>
      </w:r>
    </w:p>
    <w:p w14:paraId="7C7A45CC" w14:textId="786551E4" w:rsidR="001257B5" w:rsidRDefault="00F12902" w:rsidP="009B5CA8">
      <w:pPr>
        <w:pStyle w:val="Geenafstand"/>
        <w:ind w:left="720"/>
      </w:pPr>
      <w:r>
        <w:rPr>
          <w:i/>
          <w:iCs/>
        </w:rPr>
        <w:t>Of</w:t>
      </w:r>
      <w:r w:rsidR="0068504C">
        <w:rPr>
          <w:i/>
          <w:iCs/>
        </w:rPr>
        <w:t>:</w:t>
      </w:r>
      <w:r>
        <w:rPr>
          <w:i/>
          <w:iCs/>
        </w:rPr>
        <w:t xml:space="preserve"> volgens de </w:t>
      </w:r>
      <w:r w:rsidR="001257B5">
        <w:rPr>
          <w:i/>
          <w:iCs/>
        </w:rPr>
        <w:t xml:space="preserve">markttoelating worden </w:t>
      </w:r>
      <w:r>
        <w:rPr>
          <w:i/>
          <w:iCs/>
        </w:rPr>
        <w:t>kanker</w:t>
      </w:r>
      <w:r w:rsidR="001257B5">
        <w:rPr>
          <w:i/>
          <w:iCs/>
        </w:rPr>
        <w:t>patiënten met ziekteprogressie stadium IV behandeld. In de klinische studie worden ook patiënten behandeld in een eerder stadium van hun ziekte</w:t>
      </w:r>
      <w:r>
        <w:rPr>
          <w:i/>
          <w:iCs/>
        </w:rPr>
        <w:t>, zoals stadium II of III</w:t>
      </w:r>
      <w:r w:rsidR="008245D8">
        <w:rPr>
          <w:i/>
          <w:iCs/>
        </w:rPr>
        <w:t>.</w:t>
      </w:r>
    </w:p>
    <w:p w14:paraId="2D4DFC44" w14:textId="2D87F79E" w:rsidR="009B5CA8" w:rsidRDefault="008E4150" w:rsidP="0002362F">
      <w:pPr>
        <w:pStyle w:val="Geenafstand"/>
        <w:numPr>
          <w:ilvl w:val="0"/>
          <w:numId w:val="4"/>
        </w:numPr>
      </w:pPr>
      <w:r>
        <w:t>Een verandering in het toedieningsregime van het medisch product</w:t>
      </w:r>
      <w:r w:rsidR="00B25C88">
        <w:t>, waarbij de maximum dosis zoals beschreven in de markttoelating niet wordt overschreden</w:t>
      </w:r>
      <w:r>
        <w:t>.</w:t>
      </w:r>
    </w:p>
    <w:p w14:paraId="76EAE1C1" w14:textId="7847241C" w:rsidR="008E4150" w:rsidRPr="008E4150" w:rsidRDefault="008E4150" w:rsidP="008E4150">
      <w:pPr>
        <w:pStyle w:val="Geenafstand"/>
        <w:ind w:left="720"/>
        <w:rPr>
          <w:i/>
          <w:iCs/>
        </w:rPr>
      </w:pPr>
      <w:r>
        <w:rPr>
          <w:i/>
          <w:iCs/>
        </w:rPr>
        <w:t>Bijvoorbeeld</w:t>
      </w:r>
      <w:r w:rsidR="00B25C88">
        <w:rPr>
          <w:i/>
          <w:iCs/>
        </w:rPr>
        <w:t>:</w:t>
      </w:r>
      <w:r w:rsidR="00323FFE">
        <w:rPr>
          <w:i/>
          <w:iCs/>
        </w:rPr>
        <w:t xml:space="preserve"> </w:t>
      </w:r>
      <w:r w:rsidR="00F12902">
        <w:rPr>
          <w:i/>
          <w:iCs/>
        </w:rPr>
        <w:t xml:space="preserve">volgens de </w:t>
      </w:r>
      <w:r w:rsidR="00323FFE">
        <w:rPr>
          <w:i/>
          <w:iCs/>
        </w:rPr>
        <w:t xml:space="preserve">markttoelating worden patiënten met een tussenpoos van 14 dagen behandeld, gedurende </w:t>
      </w:r>
      <w:r w:rsidR="005E048C">
        <w:rPr>
          <w:i/>
          <w:iCs/>
        </w:rPr>
        <w:t>5 opeenvolgende behandelingen. In de klinische studie wordt de tijd tussen de toedieningen verlengd naar 21 dagen</w:t>
      </w:r>
      <w:r w:rsidR="000F31C4">
        <w:rPr>
          <w:i/>
          <w:iCs/>
        </w:rPr>
        <w:t>, gedurende maximaal 10 behandelingen</w:t>
      </w:r>
      <w:r w:rsidR="00BC6813">
        <w:rPr>
          <w:i/>
          <w:iCs/>
        </w:rPr>
        <w:t xml:space="preserve"> waarbij de dosis per toediening wordt gehalveerd</w:t>
      </w:r>
      <w:r w:rsidR="005E048C">
        <w:rPr>
          <w:i/>
          <w:iCs/>
        </w:rPr>
        <w:t>.</w:t>
      </w:r>
    </w:p>
    <w:p w14:paraId="59FD992B" w14:textId="09C77F82" w:rsidR="006D15AD" w:rsidRDefault="00EA7FFA" w:rsidP="0002362F">
      <w:pPr>
        <w:pStyle w:val="Geenafstand"/>
        <w:numPr>
          <w:ilvl w:val="0"/>
          <w:numId w:val="4"/>
        </w:numPr>
      </w:pPr>
      <w:r>
        <w:t>Een verandering in de</w:t>
      </w:r>
      <w:r w:rsidR="00625F82">
        <w:t xml:space="preserve"> </w:t>
      </w:r>
      <w:r w:rsidR="00625F82" w:rsidRPr="00625F82">
        <w:t>samenstelling van het preparaat</w:t>
      </w:r>
      <w:r w:rsidR="00625F82">
        <w:t xml:space="preserve"> van het medisch product</w:t>
      </w:r>
      <w:r w:rsidR="00FA06B6">
        <w:t xml:space="preserve">, waarbij het genetisch gemodificeerde </w:t>
      </w:r>
      <w:r w:rsidR="00A46A74">
        <w:t xml:space="preserve">organisme </w:t>
      </w:r>
      <w:r w:rsidR="00FA06B6">
        <w:t>niet wordt aangepast</w:t>
      </w:r>
      <w:r w:rsidR="00625F82">
        <w:t>.</w:t>
      </w:r>
    </w:p>
    <w:p w14:paraId="46417506" w14:textId="2FCCEB0F" w:rsidR="00625F82" w:rsidRPr="00625F82" w:rsidRDefault="00625F82" w:rsidP="00625F82">
      <w:pPr>
        <w:pStyle w:val="Geenafstand"/>
        <w:ind w:left="720"/>
        <w:rPr>
          <w:i/>
          <w:iCs/>
        </w:rPr>
      </w:pPr>
      <w:r>
        <w:rPr>
          <w:i/>
          <w:iCs/>
        </w:rPr>
        <w:t>Bijvoorbeeld</w:t>
      </w:r>
      <w:r w:rsidR="00055163">
        <w:rPr>
          <w:i/>
          <w:iCs/>
        </w:rPr>
        <w:t>:</w:t>
      </w:r>
      <w:r>
        <w:rPr>
          <w:i/>
          <w:iCs/>
        </w:rPr>
        <w:t xml:space="preserve"> een verandering </w:t>
      </w:r>
      <w:r w:rsidR="00D27238">
        <w:rPr>
          <w:i/>
          <w:iCs/>
        </w:rPr>
        <w:t xml:space="preserve">in de </w:t>
      </w:r>
      <w:r w:rsidR="00C11C08">
        <w:rPr>
          <w:i/>
          <w:iCs/>
        </w:rPr>
        <w:t xml:space="preserve">grondstoffen </w:t>
      </w:r>
      <w:r w:rsidR="000A2085">
        <w:rPr>
          <w:i/>
          <w:iCs/>
        </w:rPr>
        <w:t xml:space="preserve">en hulpstoffen </w:t>
      </w:r>
      <w:r w:rsidR="00F12902">
        <w:rPr>
          <w:i/>
          <w:iCs/>
        </w:rPr>
        <w:t>die</w:t>
      </w:r>
      <w:r w:rsidR="00D27238">
        <w:rPr>
          <w:i/>
          <w:iCs/>
        </w:rPr>
        <w:t xml:space="preserve"> worden gebruikt tijdens vervaardiging van het </w:t>
      </w:r>
      <w:r w:rsidR="00E73095">
        <w:rPr>
          <w:i/>
          <w:iCs/>
        </w:rPr>
        <w:t>medisch produc</w:t>
      </w:r>
      <w:r w:rsidR="00D27238">
        <w:rPr>
          <w:i/>
          <w:iCs/>
        </w:rPr>
        <w:t>t</w:t>
      </w:r>
      <w:r w:rsidR="00F12902">
        <w:rPr>
          <w:i/>
          <w:iCs/>
        </w:rPr>
        <w:t>, waarbij er geen invloed is op het ggo.</w:t>
      </w:r>
    </w:p>
    <w:p w14:paraId="013BAA18" w14:textId="02FEC852" w:rsidR="008E4150" w:rsidRDefault="000B1D80" w:rsidP="0002362F">
      <w:pPr>
        <w:pStyle w:val="Geenafstand"/>
        <w:numPr>
          <w:ilvl w:val="0"/>
          <w:numId w:val="4"/>
        </w:numPr>
      </w:pPr>
      <w:r>
        <w:t>Een verandering</w:t>
      </w:r>
      <w:r w:rsidR="00F66515">
        <w:t xml:space="preserve"> in de</w:t>
      </w:r>
      <w:r>
        <w:t xml:space="preserve"> medicatie </w:t>
      </w:r>
      <w:r w:rsidR="0068504C">
        <w:t xml:space="preserve">die </w:t>
      </w:r>
      <w:r w:rsidR="00F66515">
        <w:t xml:space="preserve">in combinatie met het ggo mag worden toegediend, voor zover de </w:t>
      </w:r>
      <w:r w:rsidR="004818BA">
        <w:t xml:space="preserve">te combineren </w:t>
      </w:r>
      <w:r w:rsidR="00F66515">
        <w:t>medicatie en het medische ggo-product geen interactie met elkaar hebben</w:t>
      </w:r>
      <w:r w:rsidR="004818BA">
        <w:t xml:space="preserve"> en de toe te passen medicatie niet van invloed is op de uitscheiding dan wel overleving van het ggo</w:t>
      </w:r>
      <w:r w:rsidR="00F66515">
        <w:t>.</w:t>
      </w:r>
    </w:p>
    <w:p w14:paraId="5CB1B2E5" w14:textId="204E197A" w:rsidR="00A15511" w:rsidRDefault="00A15511" w:rsidP="00A15511">
      <w:pPr>
        <w:pStyle w:val="Geenafstand"/>
        <w:ind w:left="720"/>
        <w:rPr>
          <w:i/>
          <w:iCs/>
        </w:rPr>
      </w:pPr>
      <w:r>
        <w:rPr>
          <w:i/>
          <w:iCs/>
        </w:rPr>
        <w:t>Bijvoorbeeld</w:t>
      </w:r>
      <w:r w:rsidR="00E13076">
        <w:rPr>
          <w:i/>
          <w:iCs/>
        </w:rPr>
        <w:t xml:space="preserve">: </w:t>
      </w:r>
      <w:r w:rsidR="00BF50C6">
        <w:rPr>
          <w:i/>
          <w:iCs/>
        </w:rPr>
        <w:t>volgens de</w:t>
      </w:r>
      <w:r w:rsidR="00E13076">
        <w:rPr>
          <w:i/>
          <w:iCs/>
        </w:rPr>
        <w:t xml:space="preserve"> markttoelating worden patiënten met een gespecificeerd chemotherapeuticum behandeld voorafgaand aan toediening van het medisch product. In de klinische studie wordt een ander chemotherapeuticum onderzocht.</w:t>
      </w:r>
    </w:p>
    <w:p w14:paraId="6F342BC5" w14:textId="77777777" w:rsidR="00BD47FE" w:rsidRPr="00A15511" w:rsidRDefault="00BD47FE" w:rsidP="00A15511">
      <w:pPr>
        <w:pStyle w:val="Geenafstand"/>
        <w:ind w:left="720"/>
        <w:rPr>
          <w:i/>
          <w:iCs/>
        </w:rPr>
      </w:pPr>
    </w:p>
    <w:p w14:paraId="586A56C0" w14:textId="77777777" w:rsidR="00C77ACD" w:rsidRDefault="00C77ACD">
      <w:pPr>
        <w:rPr>
          <w:rStyle w:val="Kop1Char"/>
          <w:b/>
          <w:bCs/>
          <w:sz w:val="26"/>
          <w:szCs w:val="26"/>
        </w:rPr>
      </w:pPr>
      <w:r>
        <w:rPr>
          <w:rStyle w:val="Kop1Char"/>
          <w:b/>
          <w:bCs/>
          <w:sz w:val="26"/>
          <w:szCs w:val="26"/>
        </w:rPr>
        <w:br w:type="page"/>
      </w:r>
    </w:p>
    <w:p w14:paraId="67B74C33" w14:textId="066E817D" w:rsidR="003E613A" w:rsidRPr="00F6714C" w:rsidRDefault="00646E88" w:rsidP="007E13F0">
      <w:pPr>
        <w:pStyle w:val="Geenafstand"/>
        <w:rPr>
          <w:b/>
          <w:bCs/>
          <w:sz w:val="26"/>
          <w:szCs w:val="26"/>
        </w:rPr>
      </w:pPr>
      <w:r w:rsidRPr="00F6714C">
        <w:rPr>
          <w:rStyle w:val="Kop1Char"/>
          <w:b/>
          <w:bCs/>
          <w:sz w:val="26"/>
          <w:szCs w:val="26"/>
        </w:rPr>
        <w:t>Bijlage 1 – beschrijving van categorieën</w:t>
      </w:r>
      <w:r w:rsidR="002C1939" w:rsidRPr="00F6714C">
        <w:rPr>
          <w:rStyle w:val="Kop1Char"/>
          <w:b/>
          <w:bCs/>
          <w:sz w:val="26"/>
          <w:szCs w:val="26"/>
        </w:rPr>
        <w:t xml:space="preserve"> uit </w:t>
      </w:r>
      <w:r w:rsidR="00BB53C7" w:rsidRPr="00F6714C">
        <w:rPr>
          <w:rStyle w:val="Kop1Char"/>
          <w:b/>
          <w:bCs/>
          <w:sz w:val="26"/>
          <w:szCs w:val="26"/>
        </w:rPr>
        <w:t>EC Advanced Therapies ‘Q&amp;A document’</w:t>
      </w:r>
      <w:r w:rsidRPr="00F6714C">
        <w:rPr>
          <w:rStyle w:val="Kop1Char"/>
          <w:b/>
          <w:bCs/>
          <w:sz w:val="26"/>
          <w:szCs w:val="26"/>
        </w:rPr>
        <w:t xml:space="preserve"> </w:t>
      </w:r>
      <w:r w:rsidR="00AC762F" w:rsidRPr="00F6714C">
        <w:rPr>
          <w:rStyle w:val="Kop1Char"/>
          <w:b/>
          <w:bCs/>
          <w:sz w:val="26"/>
          <w:szCs w:val="26"/>
        </w:rPr>
        <w:t>waarvoor goedkeuring conform de ggo-wetgeving niet noodzakelijk is in geval van kl</w:t>
      </w:r>
      <w:r w:rsidR="00C46F86" w:rsidRPr="00F6714C">
        <w:rPr>
          <w:rStyle w:val="Kop1Char"/>
          <w:b/>
          <w:bCs/>
          <w:sz w:val="26"/>
          <w:szCs w:val="26"/>
        </w:rPr>
        <w:t>i</w:t>
      </w:r>
      <w:r w:rsidR="00AC762F" w:rsidRPr="00F6714C">
        <w:rPr>
          <w:rStyle w:val="Kop1Char"/>
          <w:b/>
          <w:bCs/>
          <w:sz w:val="26"/>
          <w:szCs w:val="26"/>
        </w:rPr>
        <w:t xml:space="preserve">nische studies met </w:t>
      </w:r>
      <w:r w:rsidR="00800717" w:rsidRPr="00F6714C">
        <w:rPr>
          <w:rStyle w:val="Kop1Char"/>
          <w:b/>
          <w:bCs/>
          <w:sz w:val="26"/>
          <w:szCs w:val="26"/>
        </w:rPr>
        <w:t>medische producten die tot de markt zijn toegelaten</w:t>
      </w:r>
      <w:r w:rsidR="003E613A" w:rsidRPr="00F6714C">
        <w:rPr>
          <w:rStyle w:val="Kop1Char"/>
          <w:b/>
          <w:bCs/>
          <w:sz w:val="26"/>
          <w:szCs w:val="26"/>
        </w:rPr>
        <w:t>.</w:t>
      </w:r>
      <w:r w:rsidR="003E613A" w:rsidRPr="00F6714C">
        <w:rPr>
          <w:b/>
          <w:bCs/>
          <w:sz w:val="26"/>
          <w:szCs w:val="26"/>
        </w:rPr>
        <w:t xml:space="preserve"> </w:t>
      </w:r>
    </w:p>
    <w:p w14:paraId="5F2B89F9" w14:textId="0A11CB77" w:rsidR="00983331" w:rsidRPr="00983331" w:rsidRDefault="003E613A" w:rsidP="007E13F0">
      <w:pPr>
        <w:pStyle w:val="Geenafstand"/>
      </w:pPr>
      <w:r>
        <w:t xml:space="preserve">(Zie sectie II, onderdeel 4 van </w:t>
      </w:r>
      <w:hyperlink r:id="rId12" w:history="1">
        <w:r w:rsidRPr="00291718">
          <w:rPr>
            <w:rStyle w:val="Hyperlink"/>
          </w:rPr>
          <w:t>https://ec.europa.eu/health/system/files/2019-10/gmcells_qa_en_0.pdf</w:t>
        </w:r>
      </w:hyperlink>
      <w:r>
        <w:t xml:space="preserve">) </w:t>
      </w:r>
    </w:p>
    <w:p w14:paraId="07097829" w14:textId="77777777" w:rsidR="007E13F0" w:rsidRPr="00983331" w:rsidRDefault="007E13F0" w:rsidP="007E13F0">
      <w:pPr>
        <w:pStyle w:val="Geenafstand"/>
      </w:pPr>
    </w:p>
    <w:p w14:paraId="513D194B" w14:textId="77777777" w:rsidR="00F9664C" w:rsidRPr="00182359" w:rsidRDefault="00F9664C" w:rsidP="00F9664C">
      <w:pPr>
        <w:pStyle w:val="Geenafstand"/>
        <w:rPr>
          <w:i/>
          <w:iCs/>
          <w:lang w:val="en-US"/>
        </w:rPr>
      </w:pPr>
      <w:r w:rsidRPr="00182359">
        <w:rPr>
          <w:i/>
          <w:iCs/>
          <w:lang w:val="en-US"/>
        </w:rPr>
        <w:t xml:space="preserve">Clinical trials with an </w:t>
      </w:r>
      <w:proofErr w:type="spellStart"/>
      <w:r w:rsidRPr="00182359">
        <w:rPr>
          <w:i/>
          <w:iCs/>
          <w:lang w:val="en-US"/>
        </w:rPr>
        <w:t>authorised</w:t>
      </w:r>
      <w:proofErr w:type="spellEnd"/>
      <w:r w:rsidRPr="00182359">
        <w:rPr>
          <w:i/>
          <w:iCs/>
          <w:lang w:val="en-US"/>
        </w:rPr>
        <w:t xml:space="preserve"> product but covering an indication not foreseen in </w:t>
      </w:r>
    </w:p>
    <w:p w14:paraId="4658DD39" w14:textId="6B4EF7AD" w:rsidR="007E13F0" w:rsidRPr="00C77ACD" w:rsidRDefault="00F9664C" w:rsidP="00F9664C">
      <w:pPr>
        <w:pStyle w:val="Geenafstand"/>
        <w:rPr>
          <w:i/>
          <w:iCs/>
        </w:rPr>
      </w:pPr>
      <w:proofErr w:type="spellStart"/>
      <w:r w:rsidRPr="00C77ACD">
        <w:rPr>
          <w:i/>
          <w:iCs/>
        </w:rPr>
        <w:t>the</w:t>
      </w:r>
      <w:proofErr w:type="spellEnd"/>
      <w:r w:rsidRPr="00C77ACD">
        <w:rPr>
          <w:i/>
          <w:iCs/>
        </w:rPr>
        <w:t xml:space="preserve"> </w:t>
      </w:r>
      <w:proofErr w:type="spellStart"/>
      <w:r w:rsidRPr="00C77ACD">
        <w:rPr>
          <w:i/>
          <w:iCs/>
        </w:rPr>
        <w:t>SmPC</w:t>
      </w:r>
      <w:proofErr w:type="spellEnd"/>
      <w:r w:rsidRPr="00C77ACD">
        <w:rPr>
          <w:i/>
          <w:iCs/>
        </w:rPr>
        <w:t xml:space="preserve"> (onderdeel 4.2 </w:t>
      </w:r>
      <w:r w:rsidR="00655E9D" w:rsidRPr="00C77ACD">
        <w:rPr>
          <w:i/>
          <w:iCs/>
        </w:rPr>
        <w:t>Q&amp;A document)</w:t>
      </w:r>
    </w:p>
    <w:p w14:paraId="3BACDAD1" w14:textId="77777777" w:rsidR="00182359" w:rsidRPr="00182359" w:rsidRDefault="00182359" w:rsidP="00182359">
      <w:pPr>
        <w:pStyle w:val="Geenafstand"/>
        <w:rPr>
          <w:lang w:val="en-US"/>
        </w:rPr>
      </w:pPr>
      <w:r w:rsidRPr="00182359">
        <w:rPr>
          <w:lang w:val="en-US"/>
        </w:rPr>
        <w:t xml:space="preserve">Clinical trials with an </w:t>
      </w:r>
      <w:proofErr w:type="spellStart"/>
      <w:r w:rsidRPr="00182359">
        <w:rPr>
          <w:lang w:val="en-US"/>
        </w:rPr>
        <w:t>authorised</w:t>
      </w:r>
      <w:proofErr w:type="spellEnd"/>
      <w:r w:rsidRPr="00182359">
        <w:rPr>
          <w:lang w:val="en-US"/>
        </w:rPr>
        <w:t xml:space="preserve"> product which is used in a therapeutic indication not covered </w:t>
      </w:r>
    </w:p>
    <w:p w14:paraId="71535F09" w14:textId="77777777" w:rsidR="00182359" w:rsidRPr="00182359" w:rsidRDefault="00182359" w:rsidP="00182359">
      <w:pPr>
        <w:pStyle w:val="Geenafstand"/>
        <w:rPr>
          <w:lang w:val="en-US"/>
        </w:rPr>
      </w:pPr>
      <w:r w:rsidRPr="00182359">
        <w:rPr>
          <w:lang w:val="en-US"/>
        </w:rPr>
        <w:t xml:space="preserve">by the SmPC should be </w:t>
      </w:r>
      <w:proofErr w:type="spellStart"/>
      <w:r w:rsidRPr="00182359">
        <w:rPr>
          <w:lang w:val="en-US"/>
        </w:rPr>
        <w:t>authorised</w:t>
      </w:r>
      <w:proofErr w:type="spellEnd"/>
      <w:r w:rsidRPr="00182359">
        <w:rPr>
          <w:lang w:val="en-US"/>
        </w:rPr>
        <w:t xml:space="preserve"> under the GMO framework only with regard to new </w:t>
      </w:r>
    </w:p>
    <w:p w14:paraId="2671D7AE" w14:textId="77777777" w:rsidR="00182359" w:rsidRPr="00182359" w:rsidRDefault="00182359" w:rsidP="00182359">
      <w:pPr>
        <w:pStyle w:val="Geenafstand"/>
        <w:rPr>
          <w:lang w:val="en-US"/>
        </w:rPr>
      </w:pPr>
      <w:r w:rsidRPr="00182359">
        <w:rPr>
          <w:lang w:val="en-US"/>
        </w:rPr>
        <w:t xml:space="preserve">environmental risks not covered by the environmental risk assessment of the marketing </w:t>
      </w:r>
    </w:p>
    <w:p w14:paraId="786BE7FA" w14:textId="77777777" w:rsidR="00182359" w:rsidRPr="00182359" w:rsidRDefault="00182359" w:rsidP="00182359">
      <w:pPr>
        <w:pStyle w:val="Geenafstand"/>
        <w:rPr>
          <w:lang w:val="en-US"/>
        </w:rPr>
      </w:pPr>
      <w:proofErr w:type="spellStart"/>
      <w:r w:rsidRPr="00182359">
        <w:rPr>
          <w:lang w:val="en-US"/>
        </w:rPr>
        <w:t>authorisation</w:t>
      </w:r>
      <w:proofErr w:type="spellEnd"/>
      <w:r w:rsidRPr="00182359">
        <w:rPr>
          <w:lang w:val="en-US"/>
        </w:rPr>
        <w:t>. The following scenarios are given for illustration purposes:</w:t>
      </w:r>
    </w:p>
    <w:p w14:paraId="0963D1B3" w14:textId="4A716D23" w:rsidR="00182359" w:rsidRPr="00877E3A" w:rsidRDefault="00182359" w:rsidP="00877E3A">
      <w:pPr>
        <w:pStyle w:val="Geenafstand"/>
        <w:numPr>
          <w:ilvl w:val="0"/>
          <w:numId w:val="1"/>
        </w:numPr>
        <w:rPr>
          <w:lang w:val="en-US"/>
        </w:rPr>
      </w:pPr>
      <w:r w:rsidRPr="00877E3A">
        <w:rPr>
          <w:lang w:val="en-US"/>
        </w:rPr>
        <w:t xml:space="preserve">If the SmPC of an </w:t>
      </w:r>
      <w:proofErr w:type="spellStart"/>
      <w:r w:rsidRPr="00877E3A">
        <w:rPr>
          <w:lang w:val="en-US"/>
        </w:rPr>
        <w:t>authorised</w:t>
      </w:r>
      <w:proofErr w:type="spellEnd"/>
      <w:r w:rsidRPr="00877E3A">
        <w:rPr>
          <w:lang w:val="en-US"/>
        </w:rPr>
        <w:t xml:space="preserve"> gene therapy medicinal product foresees that the product should be used as a third line treatment and in the clinical trial the product is used as second line treatment, the environmental risk assessment of the marketing </w:t>
      </w:r>
      <w:proofErr w:type="spellStart"/>
      <w:r w:rsidRPr="00877E3A">
        <w:rPr>
          <w:lang w:val="en-US"/>
        </w:rPr>
        <w:t>authorisation</w:t>
      </w:r>
      <w:proofErr w:type="spellEnd"/>
      <w:r w:rsidRPr="00877E3A">
        <w:rPr>
          <w:lang w:val="en-US"/>
        </w:rPr>
        <w:t xml:space="preserve"> can be deemed sufficient.</w:t>
      </w:r>
    </w:p>
    <w:p w14:paraId="4BF2F8EB" w14:textId="7C50F1C5" w:rsidR="00182359" w:rsidRPr="00877E3A" w:rsidRDefault="00182359" w:rsidP="00877E3A">
      <w:pPr>
        <w:pStyle w:val="Geenafstand"/>
        <w:numPr>
          <w:ilvl w:val="0"/>
          <w:numId w:val="1"/>
        </w:numPr>
        <w:rPr>
          <w:lang w:val="en-US"/>
        </w:rPr>
      </w:pPr>
      <w:r w:rsidRPr="00877E3A">
        <w:rPr>
          <w:lang w:val="en-US"/>
        </w:rPr>
        <w:t xml:space="preserve">If the SmPC of an </w:t>
      </w:r>
      <w:proofErr w:type="spellStart"/>
      <w:r w:rsidRPr="00877E3A">
        <w:rPr>
          <w:lang w:val="en-US"/>
        </w:rPr>
        <w:t>authorised</w:t>
      </w:r>
      <w:proofErr w:type="spellEnd"/>
      <w:r w:rsidRPr="00877E3A">
        <w:rPr>
          <w:lang w:val="en-US"/>
        </w:rPr>
        <w:t xml:space="preserve"> gene therapy medicinal product foresees that the product should be used in adult populations and the clinical trial is conducted with minors, the environmental risk assessment of the marketing </w:t>
      </w:r>
      <w:proofErr w:type="spellStart"/>
      <w:r w:rsidRPr="00877E3A">
        <w:rPr>
          <w:lang w:val="en-US"/>
        </w:rPr>
        <w:t>authorisation</w:t>
      </w:r>
      <w:proofErr w:type="spellEnd"/>
      <w:r w:rsidRPr="00877E3A">
        <w:rPr>
          <w:lang w:val="en-US"/>
        </w:rPr>
        <w:t xml:space="preserve"> can be deemed sufficient.</w:t>
      </w:r>
    </w:p>
    <w:p w14:paraId="6BE5F311" w14:textId="21043BDA" w:rsidR="00182359" w:rsidRDefault="00182359" w:rsidP="00182359">
      <w:pPr>
        <w:pStyle w:val="Geenafstand"/>
        <w:numPr>
          <w:ilvl w:val="0"/>
          <w:numId w:val="1"/>
        </w:numPr>
        <w:rPr>
          <w:lang w:val="en-US"/>
        </w:rPr>
      </w:pPr>
      <w:r w:rsidRPr="002763BF">
        <w:rPr>
          <w:lang w:val="en-US"/>
        </w:rPr>
        <w:t xml:space="preserve">If the SmPC of an </w:t>
      </w:r>
      <w:proofErr w:type="spellStart"/>
      <w:r w:rsidRPr="002763BF">
        <w:rPr>
          <w:lang w:val="en-US"/>
        </w:rPr>
        <w:t>authorised</w:t>
      </w:r>
      <w:proofErr w:type="spellEnd"/>
      <w:r w:rsidRPr="002763BF">
        <w:rPr>
          <w:lang w:val="en-US"/>
        </w:rPr>
        <w:t xml:space="preserve"> gene therapy medicinal product covers the treatment of melanoma but in the clinical trial the product is used for the treatment of </w:t>
      </w:r>
      <w:proofErr w:type="spellStart"/>
      <w:r w:rsidRPr="002763BF">
        <w:rPr>
          <w:lang w:val="en-US"/>
        </w:rPr>
        <w:t>leukaemia</w:t>
      </w:r>
      <w:proofErr w:type="spellEnd"/>
      <w:r w:rsidRPr="002763BF">
        <w:rPr>
          <w:lang w:val="en-US"/>
        </w:rPr>
        <w:t xml:space="preserve">, assessment under the GMO framework would be required in respect of risks (if any) that are not covered by the environmental risk assessment of the marketing </w:t>
      </w:r>
      <w:proofErr w:type="spellStart"/>
      <w:r w:rsidRPr="002763BF">
        <w:rPr>
          <w:lang w:val="en-US"/>
        </w:rPr>
        <w:t>authorisation</w:t>
      </w:r>
      <w:proofErr w:type="spellEnd"/>
      <w:r w:rsidRPr="002763BF">
        <w:rPr>
          <w:lang w:val="en-US"/>
        </w:rPr>
        <w:t>.</w:t>
      </w:r>
    </w:p>
    <w:p w14:paraId="4AE6A995" w14:textId="77777777" w:rsidR="002763BF" w:rsidRDefault="002763BF" w:rsidP="002763BF">
      <w:pPr>
        <w:pStyle w:val="Geenafstand"/>
        <w:rPr>
          <w:lang w:val="en-US"/>
        </w:rPr>
      </w:pPr>
    </w:p>
    <w:p w14:paraId="080DD2FD" w14:textId="77777777" w:rsidR="002763BF" w:rsidRPr="00444B62" w:rsidRDefault="002763BF" w:rsidP="002763BF">
      <w:pPr>
        <w:pStyle w:val="Geenafstand"/>
        <w:rPr>
          <w:i/>
          <w:iCs/>
          <w:lang w:val="en-US"/>
        </w:rPr>
      </w:pPr>
      <w:r w:rsidRPr="00444B62">
        <w:rPr>
          <w:i/>
          <w:iCs/>
          <w:lang w:val="en-US"/>
        </w:rPr>
        <w:t xml:space="preserve">Clinical trials with an </w:t>
      </w:r>
      <w:proofErr w:type="spellStart"/>
      <w:r w:rsidRPr="00444B62">
        <w:rPr>
          <w:i/>
          <w:iCs/>
          <w:lang w:val="en-US"/>
        </w:rPr>
        <w:t>authorised</w:t>
      </w:r>
      <w:proofErr w:type="spellEnd"/>
      <w:r w:rsidRPr="00444B62">
        <w:rPr>
          <w:i/>
          <w:iCs/>
          <w:lang w:val="en-US"/>
        </w:rPr>
        <w:t xml:space="preserve"> product but for a pharmaceutical form/route of </w:t>
      </w:r>
    </w:p>
    <w:p w14:paraId="61337E01" w14:textId="5189BC7F" w:rsidR="002763BF" w:rsidRPr="00444B62" w:rsidRDefault="002763BF" w:rsidP="002763BF">
      <w:pPr>
        <w:pStyle w:val="Geenafstand"/>
        <w:rPr>
          <w:i/>
          <w:iCs/>
          <w:lang w:val="en-US"/>
        </w:rPr>
      </w:pPr>
      <w:r w:rsidRPr="00444B62">
        <w:rPr>
          <w:i/>
          <w:iCs/>
          <w:lang w:val="en-US"/>
        </w:rPr>
        <w:t>administration not foreseen in the SmPC</w:t>
      </w:r>
      <w:r w:rsidR="00444B62" w:rsidRPr="00444B62">
        <w:rPr>
          <w:i/>
          <w:iCs/>
          <w:lang w:val="en-US"/>
        </w:rPr>
        <w:t xml:space="preserve"> (</w:t>
      </w:r>
      <w:proofErr w:type="spellStart"/>
      <w:r w:rsidR="00444B62" w:rsidRPr="00444B62">
        <w:rPr>
          <w:i/>
          <w:iCs/>
          <w:lang w:val="en-US"/>
        </w:rPr>
        <w:t>onderdeel</w:t>
      </w:r>
      <w:proofErr w:type="spellEnd"/>
      <w:r w:rsidR="00444B62" w:rsidRPr="00444B62">
        <w:rPr>
          <w:i/>
          <w:iCs/>
          <w:lang w:val="en-US"/>
        </w:rPr>
        <w:t xml:space="preserve"> 4.3 Q&amp;A document)</w:t>
      </w:r>
    </w:p>
    <w:p w14:paraId="48B1BC4E" w14:textId="77777777" w:rsidR="00444B62" w:rsidRPr="00444B62" w:rsidRDefault="00444B62" w:rsidP="00444B62">
      <w:pPr>
        <w:pStyle w:val="Geenafstand"/>
        <w:rPr>
          <w:lang w:val="en-US"/>
        </w:rPr>
      </w:pPr>
      <w:r w:rsidRPr="00444B62">
        <w:rPr>
          <w:lang w:val="en-US"/>
        </w:rPr>
        <w:t xml:space="preserve">Clinical trials with new pharmaceutical forms and/or route of administrations should be </w:t>
      </w:r>
    </w:p>
    <w:p w14:paraId="6591E263" w14:textId="77777777" w:rsidR="00444B62" w:rsidRPr="00444B62" w:rsidRDefault="00444B62" w:rsidP="00444B62">
      <w:pPr>
        <w:pStyle w:val="Geenafstand"/>
        <w:rPr>
          <w:lang w:val="en-US"/>
        </w:rPr>
      </w:pPr>
      <w:r w:rsidRPr="00444B62">
        <w:rPr>
          <w:lang w:val="en-US"/>
        </w:rPr>
        <w:t xml:space="preserve">assessed under the GMO framework only with regard to new environmental risks not covered </w:t>
      </w:r>
    </w:p>
    <w:p w14:paraId="575A74CA" w14:textId="28A6EFF2" w:rsidR="007E13F0" w:rsidRDefault="00444B62" w:rsidP="00444B62">
      <w:pPr>
        <w:pStyle w:val="Geenafstand"/>
        <w:rPr>
          <w:lang w:val="en-US"/>
        </w:rPr>
      </w:pPr>
      <w:r w:rsidRPr="00444B62">
        <w:rPr>
          <w:lang w:val="en-US"/>
        </w:rPr>
        <w:t xml:space="preserve">by the environmental risk assessment of the marketing </w:t>
      </w:r>
      <w:proofErr w:type="spellStart"/>
      <w:r w:rsidRPr="00444B62">
        <w:rPr>
          <w:lang w:val="en-US"/>
        </w:rPr>
        <w:t>authorisation</w:t>
      </w:r>
      <w:proofErr w:type="spellEnd"/>
      <w:r w:rsidRPr="00444B62">
        <w:rPr>
          <w:lang w:val="en-US"/>
        </w:rPr>
        <w:t>.</w:t>
      </w:r>
    </w:p>
    <w:p w14:paraId="0C4ED867" w14:textId="314A14B2" w:rsidR="009219C6" w:rsidRPr="003923D5" w:rsidRDefault="009219C6" w:rsidP="003923D5">
      <w:pPr>
        <w:pStyle w:val="Geenafstand"/>
        <w:numPr>
          <w:ilvl w:val="0"/>
          <w:numId w:val="2"/>
        </w:numPr>
        <w:rPr>
          <w:lang w:val="en-US"/>
        </w:rPr>
      </w:pPr>
      <w:r w:rsidRPr="003923D5">
        <w:rPr>
          <w:lang w:val="en-US"/>
        </w:rPr>
        <w:t xml:space="preserve">The submission under the GMO framework should focus on the new risks and not duplicate the assessment done in the context of the marketing </w:t>
      </w:r>
      <w:proofErr w:type="spellStart"/>
      <w:r w:rsidRPr="003923D5">
        <w:rPr>
          <w:lang w:val="en-US"/>
        </w:rPr>
        <w:t>authorisation</w:t>
      </w:r>
      <w:proofErr w:type="spellEnd"/>
      <w:r w:rsidRPr="003923D5">
        <w:rPr>
          <w:lang w:val="en-US"/>
        </w:rPr>
        <w:t xml:space="preserve"> procedure. In particular, </w:t>
      </w:r>
    </w:p>
    <w:p w14:paraId="47D08FD7" w14:textId="77777777" w:rsidR="009219C6" w:rsidRPr="009219C6" w:rsidRDefault="009219C6" w:rsidP="003923D5">
      <w:pPr>
        <w:pStyle w:val="Geenafstand"/>
        <w:ind w:left="720"/>
        <w:rPr>
          <w:lang w:val="en-US"/>
        </w:rPr>
      </w:pPr>
      <w:r w:rsidRPr="009219C6">
        <w:rPr>
          <w:lang w:val="en-US"/>
        </w:rPr>
        <w:t xml:space="preserve">the submission should provide (i) justification that the use of the product in the new </w:t>
      </w:r>
    </w:p>
    <w:p w14:paraId="65EC7046" w14:textId="176B55D6" w:rsidR="009219C6" w:rsidRPr="00182359" w:rsidRDefault="009219C6" w:rsidP="003923D5">
      <w:pPr>
        <w:pStyle w:val="Geenafstand"/>
        <w:ind w:left="720"/>
        <w:rPr>
          <w:lang w:val="en-US"/>
        </w:rPr>
      </w:pPr>
      <w:r w:rsidRPr="009219C6">
        <w:rPr>
          <w:lang w:val="en-US"/>
        </w:rPr>
        <w:t xml:space="preserve">pharmaceutical form and/or route of administration does not carry any risk additional to those already covered by the ERA of the marketing </w:t>
      </w:r>
      <w:proofErr w:type="spellStart"/>
      <w:r w:rsidRPr="009219C6">
        <w:rPr>
          <w:lang w:val="en-US"/>
        </w:rPr>
        <w:t>authorisation</w:t>
      </w:r>
      <w:proofErr w:type="spellEnd"/>
      <w:r w:rsidRPr="009219C6">
        <w:rPr>
          <w:lang w:val="en-US"/>
        </w:rPr>
        <w:t>, or (ii) description of the new risks.</w:t>
      </w:r>
    </w:p>
    <w:p w14:paraId="3EDDE7DA" w14:textId="77777777" w:rsidR="00AE1DF4" w:rsidRDefault="00AE1DF4" w:rsidP="007E13F0">
      <w:pPr>
        <w:pStyle w:val="Geenafstand"/>
        <w:rPr>
          <w:lang w:val="en-US"/>
        </w:rPr>
      </w:pPr>
    </w:p>
    <w:p w14:paraId="43BC8AC9" w14:textId="77777777" w:rsidR="00AE1DF4" w:rsidRPr="00983331" w:rsidRDefault="00AE1DF4" w:rsidP="00AE1DF4">
      <w:pPr>
        <w:pStyle w:val="Geenafstand"/>
        <w:rPr>
          <w:i/>
          <w:iCs/>
          <w:lang w:val="en-US"/>
        </w:rPr>
      </w:pPr>
      <w:r w:rsidRPr="00983331">
        <w:rPr>
          <w:i/>
          <w:iCs/>
          <w:lang w:val="en-US"/>
        </w:rPr>
        <w:t xml:space="preserve">Clinical trials with an </w:t>
      </w:r>
      <w:proofErr w:type="spellStart"/>
      <w:r w:rsidRPr="00983331">
        <w:rPr>
          <w:i/>
          <w:iCs/>
          <w:lang w:val="en-US"/>
        </w:rPr>
        <w:t>authorised</w:t>
      </w:r>
      <w:proofErr w:type="spellEnd"/>
      <w:r w:rsidRPr="00983331">
        <w:rPr>
          <w:i/>
          <w:iCs/>
          <w:lang w:val="en-US"/>
        </w:rPr>
        <w:t xml:space="preserve"> product in cases where changes have been made to </w:t>
      </w:r>
    </w:p>
    <w:p w14:paraId="46850AA5" w14:textId="3BA7F855" w:rsidR="00AE1DF4" w:rsidRPr="00983331" w:rsidRDefault="00AE1DF4" w:rsidP="00AE1DF4">
      <w:pPr>
        <w:pStyle w:val="Geenafstand"/>
        <w:rPr>
          <w:i/>
          <w:iCs/>
          <w:lang w:val="en-US"/>
        </w:rPr>
      </w:pPr>
      <w:r w:rsidRPr="00983331">
        <w:rPr>
          <w:i/>
          <w:iCs/>
          <w:lang w:val="en-US"/>
        </w:rPr>
        <w:t>the product composition (active substance) (</w:t>
      </w:r>
      <w:proofErr w:type="spellStart"/>
      <w:r w:rsidRPr="00983331">
        <w:rPr>
          <w:i/>
          <w:iCs/>
          <w:lang w:val="en-US"/>
        </w:rPr>
        <w:t>onderdeel</w:t>
      </w:r>
      <w:proofErr w:type="spellEnd"/>
      <w:r w:rsidRPr="00983331">
        <w:rPr>
          <w:i/>
          <w:iCs/>
          <w:lang w:val="en-US"/>
        </w:rPr>
        <w:t xml:space="preserve"> 4</w:t>
      </w:r>
      <w:r w:rsidR="00EB545E">
        <w:rPr>
          <w:i/>
          <w:iCs/>
          <w:lang w:val="en-US"/>
        </w:rPr>
        <w:t>.4</w:t>
      </w:r>
      <w:r w:rsidRPr="00983331">
        <w:rPr>
          <w:i/>
          <w:iCs/>
          <w:lang w:val="en-US"/>
        </w:rPr>
        <w:t xml:space="preserve"> Q&amp;A document)</w:t>
      </w:r>
    </w:p>
    <w:p w14:paraId="49F106A5" w14:textId="77777777" w:rsidR="00983331" w:rsidRPr="00983331" w:rsidRDefault="00983331" w:rsidP="00983331">
      <w:pPr>
        <w:pStyle w:val="Geenafstand"/>
        <w:rPr>
          <w:lang w:val="en-US"/>
        </w:rPr>
      </w:pPr>
      <w:r w:rsidRPr="00983331">
        <w:rPr>
          <w:lang w:val="en-US"/>
        </w:rPr>
        <w:t xml:space="preserve">Certain changes to the product composition can occur during the life-cycle of the medicinal </w:t>
      </w:r>
    </w:p>
    <w:p w14:paraId="3E98CD65" w14:textId="77777777" w:rsidR="00983331" w:rsidRPr="00983331" w:rsidRDefault="00983331" w:rsidP="00983331">
      <w:pPr>
        <w:pStyle w:val="Geenafstand"/>
        <w:rPr>
          <w:lang w:val="en-US"/>
        </w:rPr>
      </w:pPr>
      <w:r w:rsidRPr="00983331">
        <w:rPr>
          <w:lang w:val="en-US"/>
        </w:rPr>
        <w:t xml:space="preserve">product and they are handled via a variation procedure without the need for the generation of </w:t>
      </w:r>
    </w:p>
    <w:p w14:paraId="070C7349" w14:textId="77777777" w:rsidR="00983331" w:rsidRPr="00983331" w:rsidRDefault="00983331" w:rsidP="00983331">
      <w:pPr>
        <w:pStyle w:val="Geenafstand"/>
        <w:rPr>
          <w:lang w:val="en-US"/>
        </w:rPr>
      </w:pPr>
      <w:r w:rsidRPr="00983331">
        <w:rPr>
          <w:lang w:val="en-US"/>
        </w:rPr>
        <w:t xml:space="preserve">clinical trial data (e.g. changes in raw materials or excipients). These changes do not require </w:t>
      </w:r>
    </w:p>
    <w:p w14:paraId="03AF77F6" w14:textId="77777777" w:rsidR="00983331" w:rsidRPr="00983331" w:rsidRDefault="00983331" w:rsidP="00983331">
      <w:pPr>
        <w:pStyle w:val="Geenafstand"/>
        <w:rPr>
          <w:lang w:val="en-US"/>
        </w:rPr>
      </w:pPr>
      <w:r w:rsidRPr="00983331">
        <w:rPr>
          <w:lang w:val="en-US"/>
        </w:rPr>
        <w:t>assessment under the GMO framework.</w:t>
      </w:r>
    </w:p>
    <w:p w14:paraId="7D99D3EF" w14:textId="77777777" w:rsidR="00983331" w:rsidRPr="00983331" w:rsidRDefault="00983331" w:rsidP="00983331">
      <w:pPr>
        <w:pStyle w:val="Geenafstand"/>
        <w:rPr>
          <w:lang w:val="en-US"/>
        </w:rPr>
      </w:pPr>
      <w:r w:rsidRPr="00983331">
        <w:rPr>
          <w:lang w:val="en-US"/>
        </w:rPr>
        <w:t xml:space="preserve">However, there may be cases where clinical trials are conducted to confirm the safety or </w:t>
      </w:r>
    </w:p>
    <w:p w14:paraId="1164612D" w14:textId="77777777" w:rsidR="00983331" w:rsidRPr="00983331" w:rsidRDefault="00983331" w:rsidP="00983331">
      <w:pPr>
        <w:pStyle w:val="Geenafstand"/>
        <w:rPr>
          <w:lang w:val="en-US"/>
        </w:rPr>
      </w:pPr>
      <w:r w:rsidRPr="00983331">
        <w:rPr>
          <w:lang w:val="en-US"/>
        </w:rPr>
        <w:t xml:space="preserve">efficacy profile of an </w:t>
      </w:r>
      <w:proofErr w:type="spellStart"/>
      <w:r w:rsidRPr="00983331">
        <w:rPr>
          <w:lang w:val="en-US"/>
        </w:rPr>
        <w:t>authorised</w:t>
      </w:r>
      <w:proofErr w:type="spellEnd"/>
      <w:r w:rsidRPr="00983331">
        <w:rPr>
          <w:lang w:val="en-US"/>
        </w:rPr>
        <w:t xml:space="preserve"> product following a change in the composition thereof and in </w:t>
      </w:r>
    </w:p>
    <w:p w14:paraId="52F0BDCF" w14:textId="77777777" w:rsidR="00983331" w:rsidRPr="00983331" w:rsidRDefault="00983331" w:rsidP="00983331">
      <w:pPr>
        <w:pStyle w:val="Geenafstand"/>
        <w:rPr>
          <w:lang w:val="en-US"/>
        </w:rPr>
      </w:pPr>
      <w:r w:rsidRPr="00983331">
        <w:rPr>
          <w:lang w:val="en-US"/>
        </w:rPr>
        <w:t xml:space="preserve">such cases assessment under GMO framework may be required. The following scenarios are </w:t>
      </w:r>
    </w:p>
    <w:p w14:paraId="78AE8C75" w14:textId="77777777" w:rsidR="00983331" w:rsidRPr="00983331" w:rsidRDefault="00983331" w:rsidP="00983331">
      <w:pPr>
        <w:pStyle w:val="Geenafstand"/>
        <w:rPr>
          <w:lang w:val="en-US"/>
        </w:rPr>
      </w:pPr>
      <w:r w:rsidRPr="00983331">
        <w:rPr>
          <w:lang w:val="en-US"/>
        </w:rPr>
        <w:t xml:space="preserve">given for illustration purposes: </w:t>
      </w:r>
    </w:p>
    <w:p w14:paraId="5B4F51AC" w14:textId="52AC43FB" w:rsidR="00983331" w:rsidRPr="00983331" w:rsidRDefault="00983331" w:rsidP="00983331">
      <w:pPr>
        <w:pStyle w:val="Geenafstand"/>
        <w:numPr>
          <w:ilvl w:val="0"/>
          <w:numId w:val="2"/>
        </w:numPr>
        <w:rPr>
          <w:lang w:val="en-US"/>
        </w:rPr>
      </w:pPr>
      <w:r w:rsidRPr="00983331">
        <w:rPr>
          <w:lang w:val="en-US"/>
        </w:rPr>
        <w:t xml:space="preserve">If a clinical trial is conducted to confirm the efficacy or safety profile of the </w:t>
      </w:r>
      <w:proofErr w:type="spellStart"/>
      <w:r w:rsidRPr="00983331">
        <w:rPr>
          <w:lang w:val="en-US"/>
        </w:rPr>
        <w:t>authorised</w:t>
      </w:r>
      <w:proofErr w:type="spellEnd"/>
      <w:r w:rsidRPr="00983331">
        <w:rPr>
          <w:lang w:val="en-US"/>
        </w:rPr>
        <w:t xml:space="preserve"> </w:t>
      </w:r>
    </w:p>
    <w:p w14:paraId="0CFD265A" w14:textId="77777777" w:rsidR="00983331" w:rsidRPr="00983331" w:rsidRDefault="00983331" w:rsidP="00983331">
      <w:pPr>
        <w:pStyle w:val="Geenafstand"/>
        <w:ind w:left="720"/>
        <w:rPr>
          <w:lang w:val="en-US"/>
        </w:rPr>
      </w:pPr>
      <w:r w:rsidRPr="00983331">
        <w:rPr>
          <w:lang w:val="en-US"/>
        </w:rPr>
        <w:t xml:space="preserve">product following to a change in the vector, the conduct of the clinical trial should be </w:t>
      </w:r>
    </w:p>
    <w:p w14:paraId="66B50FA1" w14:textId="77777777" w:rsidR="00983331" w:rsidRPr="00983331" w:rsidRDefault="00983331" w:rsidP="00983331">
      <w:pPr>
        <w:pStyle w:val="Geenafstand"/>
        <w:ind w:left="720"/>
        <w:rPr>
          <w:lang w:val="en-US"/>
        </w:rPr>
      </w:pPr>
      <w:r w:rsidRPr="00983331">
        <w:rPr>
          <w:lang w:val="en-US"/>
        </w:rPr>
        <w:t xml:space="preserve">assessed in full under the GMO framework. </w:t>
      </w:r>
    </w:p>
    <w:p w14:paraId="4B257186" w14:textId="117C030C" w:rsidR="00983331" w:rsidRPr="00983331" w:rsidRDefault="00983331" w:rsidP="00983331">
      <w:pPr>
        <w:pStyle w:val="Geenafstand"/>
        <w:numPr>
          <w:ilvl w:val="0"/>
          <w:numId w:val="2"/>
        </w:numPr>
        <w:rPr>
          <w:lang w:val="en-US"/>
        </w:rPr>
      </w:pPr>
      <w:r w:rsidRPr="00983331">
        <w:rPr>
          <w:lang w:val="en-US"/>
        </w:rPr>
        <w:t xml:space="preserve">If a clinical trial is conducted to test a new encapsulation system of the active </w:t>
      </w:r>
    </w:p>
    <w:p w14:paraId="1B14ED54" w14:textId="4D36F0D7" w:rsidR="00AE1DF4" w:rsidRDefault="00983331" w:rsidP="00F6714C">
      <w:pPr>
        <w:pStyle w:val="Geenafstand"/>
        <w:ind w:left="720"/>
        <w:rPr>
          <w:lang w:val="en-US"/>
        </w:rPr>
      </w:pPr>
      <w:r w:rsidRPr="00983331">
        <w:rPr>
          <w:lang w:val="en-US"/>
        </w:rPr>
        <w:t>substance, a similar approach as described under 4.3 can be applied.</w:t>
      </w:r>
    </w:p>
    <w:sectPr w:rsidR="00AE1D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7A6A8" w14:textId="77777777" w:rsidR="000159DD" w:rsidRDefault="000159DD" w:rsidP="003A3DB3">
      <w:pPr>
        <w:spacing w:after="0" w:line="240" w:lineRule="auto"/>
      </w:pPr>
      <w:r>
        <w:separator/>
      </w:r>
    </w:p>
  </w:endnote>
  <w:endnote w:type="continuationSeparator" w:id="0">
    <w:p w14:paraId="228FF048" w14:textId="77777777" w:rsidR="000159DD" w:rsidRDefault="000159DD" w:rsidP="003A3DB3">
      <w:pPr>
        <w:spacing w:after="0" w:line="240" w:lineRule="auto"/>
      </w:pPr>
      <w:r>
        <w:continuationSeparator/>
      </w:r>
    </w:p>
  </w:endnote>
  <w:endnote w:type="continuationNotice" w:id="1">
    <w:p w14:paraId="671E49A2" w14:textId="77777777" w:rsidR="000159DD" w:rsidRDefault="00015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8FA6" w14:textId="77777777" w:rsidR="000159DD" w:rsidRDefault="000159DD" w:rsidP="003A3DB3">
      <w:pPr>
        <w:spacing w:after="0" w:line="240" w:lineRule="auto"/>
      </w:pPr>
      <w:r>
        <w:separator/>
      </w:r>
    </w:p>
  </w:footnote>
  <w:footnote w:type="continuationSeparator" w:id="0">
    <w:p w14:paraId="21A28D23" w14:textId="77777777" w:rsidR="000159DD" w:rsidRDefault="000159DD" w:rsidP="003A3DB3">
      <w:pPr>
        <w:spacing w:after="0" w:line="240" w:lineRule="auto"/>
      </w:pPr>
      <w:r>
        <w:continuationSeparator/>
      </w:r>
    </w:p>
  </w:footnote>
  <w:footnote w:type="continuationNotice" w:id="1">
    <w:p w14:paraId="38DFC13B" w14:textId="77777777" w:rsidR="000159DD" w:rsidRDefault="000159DD">
      <w:pPr>
        <w:spacing w:after="0" w:line="240" w:lineRule="auto"/>
      </w:pPr>
    </w:p>
  </w:footnote>
  <w:footnote w:id="2">
    <w:p w14:paraId="5795015C" w14:textId="4F9E79BA" w:rsidR="00BD47FE" w:rsidRPr="00BD47FE" w:rsidRDefault="00BD47FE">
      <w:pPr>
        <w:pStyle w:val="Voetnoottekst"/>
        <w:rPr>
          <w:sz w:val="18"/>
          <w:szCs w:val="18"/>
        </w:rPr>
      </w:pPr>
      <w:r w:rsidRPr="00BD47FE">
        <w:rPr>
          <w:rStyle w:val="Voetnootmarkering"/>
          <w:sz w:val="18"/>
          <w:szCs w:val="18"/>
        </w:rPr>
        <w:footnoteRef/>
      </w:r>
      <w:r w:rsidRPr="00BD47FE">
        <w:rPr>
          <w:sz w:val="18"/>
          <w:szCs w:val="18"/>
        </w:rPr>
        <w:t xml:space="preserve"> </w:t>
      </w:r>
      <w:r>
        <w:rPr>
          <w:sz w:val="18"/>
          <w:szCs w:val="18"/>
        </w:rPr>
        <w:t xml:space="preserve">De technische werkgroep medische </w:t>
      </w:r>
      <w:proofErr w:type="spellStart"/>
      <w:r>
        <w:rPr>
          <w:sz w:val="18"/>
          <w:szCs w:val="18"/>
        </w:rPr>
        <w:t>ggo’s</w:t>
      </w:r>
      <w:proofErr w:type="spellEnd"/>
      <w:r>
        <w:rPr>
          <w:sz w:val="18"/>
          <w:szCs w:val="18"/>
        </w:rPr>
        <w:t xml:space="preserve"> is een gezamenlijke werkgroep tussen ministerie IenW, bureau GGO, en vertegenwoordigers uit de farmaceutische industrie en academische ziekenhuizen, met als doel om praktische problemen bij de vergunningverlening rondom medische </w:t>
      </w:r>
      <w:proofErr w:type="spellStart"/>
      <w:r>
        <w:rPr>
          <w:sz w:val="18"/>
          <w:szCs w:val="18"/>
        </w:rPr>
        <w:t>ggo’s</w:t>
      </w:r>
      <w:proofErr w:type="spellEnd"/>
      <w:r>
        <w:rPr>
          <w:sz w:val="18"/>
          <w:szCs w:val="18"/>
        </w:rPr>
        <w:t xml:space="preserve"> te bespreken en waar mogelijk te vereenvoudigen of op te lossen.</w:t>
      </w:r>
    </w:p>
  </w:footnote>
  <w:footnote w:id="3">
    <w:p w14:paraId="47C15612" w14:textId="45C07167" w:rsidR="00BD47FE" w:rsidRPr="00BD47FE" w:rsidRDefault="00BD47FE">
      <w:pPr>
        <w:pStyle w:val="Voetnoottekst"/>
        <w:rPr>
          <w:sz w:val="18"/>
          <w:szCs w:val="18"/>
        </w:rPr>
      </w:pPr>
      <w:r w:rsidRPr="00BD47FE">
        <w:rPr>
          <w:rStyle w:val="Voetnootmarkering"/>
          <w:sz w:val="18"/>
          <w:szCs w:val="18"/>
        </w:rPr>
        <w:footnoteRef/>
      </w:r>
      <w:r w:rsidRPr="00BD47FE">
        <w:rPr>
          <w:sz w:val="18"/>
          <w:szCs w:val="18"/>
        </w:rPr>
        <w:t xml:space="preserve"> </w:t>
      </w:r>
      <w:r>
        <w:rPr>
          <w:sz w:val="18"/>
          <w:szCs w:val="18"/>
        </w:rPr>
        <w:t xml:space="preserve">Met sponsor wordt bedoeld: het farmaceutisch bedrijf dat de klinische studie initieert, meestal ook de eigenaar van het te onderzoeken </w:t>
      </w:r>
      <w:proofErr w:type="spellStart"/>
      <w:r>
        <w:rPr>
          <w:sz w:val="18"/>
          <w:szCs w:val="18"/>
        </w:rPr>
        <w:t>geneesmidddel</w:t>
      </w:r>
      <w:proofErr w:type="spellEnd"/>
      <w:r>
        <w:rPr>
          <w:sz w:val="18"/>
          <w:szCs w:val="18"/>
        </w:rPr>
        <w:t xml:space="preserve">. </w:t>
      </w:r>
    </w:p>
  </w:footnote>
  <w:footnote w:id="4">
    <w:p w14:paraId="09FC791A" w14:textId="324066EE" w:rsidR="0053385C" w:rsidRPr="00EE7FEA" w:rsidRDefault="0053385C">
      <w:pPr>
        <w:pStyle w:val="Voetnoottekst"/>
      </w:pPr>
      <w:r w:rsidRPr="00BD5368">
        <w:rPr>
          <w:rStyle w:val="Voetnootmarkering"/>
          <w:sz w:val="18"/>
          <w:szCs w:val="18"/>
        </w:rPr>
        <w:footnoteRef/>
      </w:r>
      <w:r w:rsidRPr="00BD5368">
        <w:rPr>
          <w:sz w:val="18"/>
          <w:szCs w:val="18"/>
        </w:rPr>
        <w:t xml:space="preserve"> </w:t>
      </w:r>
      <w:r w:rsidR="00EE7FEA" w:rsidRPr="00BD5368">
        <w:rPr>
          <w:sz w:val="18"/>
          <w:szCs w:val="18"/>
        </w:rPr>
        <w:t xml:space="preserve">Dit zijn producten waarvoor een </w:t>
      </w:r>
      <w:r w:rsidR="00A557E9" w:rsidRPr="00BD5368">
        <w:rPr>
          <w:sz w:val="18"/>
          <w:szCs w:val="18"/>
        </w:rPr>
        <w:t xml:space="preserve">handelsvergunning is afgegeven door </w:t>
      </w:r>
      <w:r w:rsidR="00BD47FE">
        <w:rPr>
          <w:sz w:val="18"/>
          <w:szCs w:val="18"/>
        </w:rPr>
        <w:t>het Europees Medicijnagentschap (EMA).</w:t>
      </w:r>
    </w:p>
  </w:footnote>
  <w:footnote w:id="5">
    <w:p w14:paraId="1FD9966B" w14:textId="2E7B6048" w:rsidR="00F12902" w:rsidRDefault="00F12902">
      <w:pPr>
        <w:pStyle w:val="Voetnoottekst"/>
      </w:pPr>
      <w:r w:rsidRPr="00F12902">
        <w:rPr>
          <w:rStyle w:val="Voetnootmarkering"/>
          <w:sz w:val="18"/>
          <w:szCs w:val="18"/>
        </w:rPr>
        <w:footnoteRef/>
      </w:r>
      <w:r w:rsidRPr="00F12902">
        <w:rPr>
          <w:sz w:val="18"/>
          <w:szCs w:val="18"/>
        </w:rPr>
        <w:t xml:space="preserve"> Tweedelijnszorg is zorg waar je een verwijzing voor nodig hebt. Bijvoorbeeld onderzoek door specialisten, behandelingen bij revalidatie en bezoek aan een ziekenhuis. Derdelijnszorg wordt gegeven in academische centra of gespecialiseerde kenniscentra of klinieken.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290"/>
    <w:multiLevelType w:val="hybridMultilevel"/>
    <w:tmpl w:val="07803A0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C40B49"/>
    <w:multiLevelType w:val="hybridMultilevel"/>
    <w:tmpl w:val="041E6086"/>
    <w:lvl w:ilvl="0" w:tplc="A70CEEA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D30078"/>
    <w:multiLevelType w:val="hybridMultilevel"/>
    <w:tmpl w:val="FE966B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9AA1542"/>
    <w:multiLevelType w:val="hybridMultilevel"/>
    <w:tmpl w:val="451CA452"/>
    <w:lvl w:ilvl="0" w:tplc="34C49526">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62F5527"/>
    <w:multiLevelType w:val="hybridMultilevel"/>
    <w:tmpl w:val="24E83A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FC44650"/>
    <w:multiLevelType w:val="hybridMultilevel"/>
    <w:tmpl w:val="6F628DFA"/>
    <w:lvl w:ilvl="0" w:tplc="2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F60236"/>
    <w:multiLevelType w:val="hybridMultilevel"/>
    <w:tmpl w:val="1542D9C2"/>
    <w:lvl w:ilvl="0" w:tplc="77A220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79006E"/>
    <w:multiLevelType w:val="hybridMultilevel"/>
    <w:tmpl w:val="537AE2D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72556291">
    <w:abstractNumId w:val="7"/>
  </w:num>
  <w:num w:numId="2" w16cid:durableId="743602294">
    <w:abstractNumId w:val="2"/>
  </w:num>
  <w:num w:numId="3" w16cid:durableId="1218473247">
    <w:abstractNumId w:val="6"/>
  </w:num>
  <w:num w:numId="4" w16cid:durableId="953706339">
    <w:abstractNumId w:val="0"/>
  </w:num>
  <w:num w:numId="5" w16cid:durableId="519272224">
    <w:abstractNumId w:val="3"/>
  </w:num>
  <w:num w:numId="6" w16cid:durableId="802039382">
    <w:abstractNumId w:val="5"/>
  </w:num>
  <w:num w:numId="7" w16cid:durableId="759106735">
    <w:abstractNumId w:val="4"/>
  </w:num>
  <w:num w:numId="8" w16cid:durableId="1784496427">
    <w:abstractNumId w:val="1"/>
  </w:num>
  <w:num w:numId="9" w16cid:durableId="193975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6A"/>
    <w:rsid w:val="0000073C"/>
    <w:rsid w:val="0000154F"/>
    <w:rsid w:val="00002AF4"/>
    <w:rsid w:val="00004DEF"/>
    <w:rsid w:val="000159DD"/>
    <w:rsid w:val="00021BCB"/>
    <w:rsid w:val="0002362F"/>
    <w:rsid w:val="00023FE2"/>
    <w:rsid w:val="00025F99"/>
    <w:rsid w:val="0003157C"/>
    <w:rsid w:val="000350CF"/>
    <w:rsid w:val="00050B3D"/>
    <w:rsid w:val="00055163"/>
    <w:rsid w:val="000624EF"/>
    <w:rsid w:val="00063A7E"/>
    <w:rsid w:val="00074776"/>
    <w:rsid w:val="00080A6F"/>
    <w:rsid w:val="0009188A"/>
    <w:rsid w:val="000A2085"/>
    <w:rsid w:val="000B1D80"/>
    <w:rsid w:val="000B3E8F"/>
    <w:rsid w:val="000B6C1C"/>
    <w:rsid w:val="000D0138"/>
    <w:rsid w:val="000D06CD"/>
    <w:rsid w:val="000D59EC"/>
    <w:rsid w:val="000E4D2D"/>
    <w:rsid w:val="000F0333"/>
    <w:rsid w:val="000F31C4"/>
    <w:rsid w:val="001016AC"/>
    <w:rsid w:val="00101E11"/>
    <w:rsid w:val="00102F62"/>
    <w:rsid w:val="00105419"/>
    <w:rsid w:val="001208DC"/>
    <w:rsid w:val="0012255A"/>
    <w:rsid w:val="001257B5"/>
    <w:rsid w:val="001278C4"/>
    <w:rsid w:val="00127F5F"/>
    <w:rsid w:val="00132C83"/>
    <w:rsid w:val="00135985"/>
    <w:rsid w:val="00135E98"/>
    <w:rsid w:val="0014743D"/>
    <w:rsid w:val="00147B4E"/>
    <w:rsid w:val="001514F0"/>
    <w:rsid w:val="00155506"/>
    <w:rsid w:val="00182359"/>
    <w:rsid w:val="00182C3E"/>
    <w:rsid w:val="00185F8F"/>
    <w:rsid w:val="00190B3D"/>
    <w:rsid w:val="001A0A61"/>
    <w:rsid w:val="001A3602"/>
    <w:rsid w:val="001A5D86"/>
    <w:rsid w:val="001B0A8F"/>
    <w:rsid w:val="001E3831"/>
    <w:rsid w:val="001F6C16"/>
    <w:rsid w:val="002027B6"/>
    <w:rsid w:val="00204D20"/>
    <w:rsid w:val="00205432"/>
    <w:rsid w:val="00205F96"/>
    <w:rsid w:val="00216C32"/>
    <w:rsid w:val="00226132"/>
    <w:rsid w:val="0022697D"/>
    <w:rsid w:val="002300E3"/>
    <w:rsid w:val="00235252"/>
    <w:rsid w:val="002373EE"/>
    <w:rsid w:val="00244752"/>
    <w:rsid w:val="0024763A"/>
    <w:rsid w:val="00253A3B"/>
    <w:rsid w:val="00262225"/>
    <w:rsid w:val="002632B9"/>
    <w:rsid w:val="00275BC9"/>
    <w:rsid w:val="002763BF"/>
    <w:rsid w:val="0027762D"/>
    <w:rsid w:val="002907DF"/>
    <w:rsid w:val="002A022E"/>
    <w:rsid w:val="002C1939"/>
    <w:rsid w:val="002C259D"/>
    <w:rsid w:val="002D2BFC"/>
    <w:rsid w:val="002E3B78"/>
    <w:rsid w:val="002F4F36"/>
    <w:rsid w:val="002F653F"/>
    <w:rsid w:val="00301826"/>
    <w:rsid w:val="00312AAD"/>
    <w:rsid w:val="003163BA"/>
    <w:rsid w:val="003230DD"/>
    <w:rsid w:val="003239C1"/>
    <w:rsid w:val="00323FFE"/>
    <w:rsid w:val="00347EC6"/>
    <w:rsid w:val="00364F10"/>
    <w:rsid w:val="0036709B"/>
    <w:rsid w:val="00373FDC"/>
    <w:rsid w:val="00376EFB"/>
    <w:rsid w:val="00381F12"/>
    <w:rsid w:val="003923D5"/>
    <w:rsid w:val="003932CF"/>
    <w:rsid w:val="003A1053"/>
    <w:rsid w:val="003A3DB3"/>
    <w:rsid w:val="003A6333"/>
    <w:rsid w:val="003A65DC"/>
    <w:rsid w:val="003B562B"/>
    <w:rsid w:val="003B62F2"/>
    <w:rsid w:val="003C116B"/>
    <w:rsid w:val="003D204D"/>
    <w:rsid w:val="003D46F3"/>
    <w:rsid w:val="003E613A"/>
    <w:rsid w:val="003F7544"/>
    <w:rsid w:val="00421B40"/>
    <w:rsid w:val="00424472"/>
    <w:rsid w:val="00424AC3"/>
    <w:rsid w:val="00431C63"/>
    <w:rsid w:val="00444B62"/>
    <w:rsid w:val="004518E5"/>
    <w:rsid w:val="004548F6"/>
    <w:rsid w:val="00457893"/>
    <w:rsid w:val="004735A7"/>
    <w:rsid w:val="004818BA"/>
    <w:rsid w:val="004864B2"/>
    <w:rsid w:val="00492D33"/>
    <w:rsid w:val="00494B33"/>
    <w:rsid w:val="004A3AC7"/>
    <w:rsid w:val="004B0969"/>
    <w:rsid w:val="004B38DF"/>
    <w:rsid w:val="004B6753"/>
    <w:rsid w:val="004C4D43"/>
    <w:rsid w:val="004C7A82"/>
    <w:rsid w:val="004D1D79"/>
    <w:rsid w:val="004E3D16"/>
    <w:rsid w:val="004E682C"/>
    <w:rsid w:val="004E716E"/>
    <w:rsid w:val="004F199C"/>
    <w:rsid w:val="004F317A"/>
    <w:rsid w:val="004F4B62"/>
    <w:rsid w:val="004F68EC"/>
    <w:rsid w:val="00504AD2"/>
    <w:rsid w:val="00507EB0"/>
    <w:rsid w:val="005212BF"/>
    <w:rsid w:val="0053031C"/>
    <w:rsid w:val="00531B15"/>
    <w:rsid w:val="0053385C"/>
    <w:rsid w:val="00536551"/>
    <w:rsid w:val="00541787"/>
    <w:rsid w:val="005417E0"/>
    <w:rsid w:val="00542142"/>
    <w:rsid w:val="005717CA"/>
    <w:rsid w:val="00576ACE"/>
    <w:rsid w:val="00584D36"/>
    <w:rsid w:val="005974E0"/>
    <w:rsid w:val="00597E18"/>
    <w:rsid w:val="005A507A"/>
    <w:rsid w:val="005B19C3"/>
    <w:rsid w:val="005B69F5"/>
    <w:rsid w:val="005C5192"/>
    <w:rsid w:val="005D6EBF"/>
    <w:rsid w:val="005E048C"/>
    <w:rsid w:val="005E16F4"/>
    <w:rsid w:val="005E5BC8"/>
    <w:rsid w:val="005E78D7"/>
    <w:rsid w:val="005F0405"/>
    <w:rsid w:val="005F5561"/>
    <w:rsid w:val="006012F3"/>
    <w:rsid w:val="0060379A"/>
    <w:rsid w:val="00613C00"/>
    <w:rsid w:val="00625F82"/>
    <w:rsid w:val="00627072"/>
    <w:rsid w:val="00631268"/>
    <w:rsid w:val="00640D87"/>
    <w:rsid w:val="006464F9"/>
    <w:rsid w:val="00646E88"/>
    <w:rsid w:val="00650EBF"/>
    <w:rsid w:val="00652A85"/>
    <w:rsid w:val="00652D70"/>
    <w:rsid w:val="00654D13"/>
    <w:rsid w:val="00655E9D"/>
    <w:rsid w:val="00660D20"/>
    <w:rsid w:val="0067589A"/>
    <w:rsid w:val="006841A3"/>
    <w:rsid w:val="0068504C"/>
    <w:rsid w:val="00686066"/>
    <w:rsid w:val="0068708F"/>
    <w:rsid w:val="006B6089"/>
    <w:rsid w:val="006D15AD"/>
    <w:rsid w:val="006E543D"/>
    <w:rsid w:val="006F63FD"/>
    <w:rsid w:val="007037F7"/>
    <w:rsid w:val="00704030"/>
    <w:rsid w:val="00704B66"/>
    <w:rsid w:val="00712D8B"/>
    <w:rsid w:val="00712E91"/>
    <w:rsid w:val="007509BE"/>
    <w:rsid w:val="00751404"/>
    <w:rsid w:val="00762D7A"/>
    <w:rsid w:val="00784CA6"/>
    <w:rsid w:val="00784EC5"/>
    <w:rsid w:val="007900E4"/>
    <w:rsid w:val="00796B7C"/>
    <w:rsid w:val="007A1142"/>
    <w:rsid w:val="007B235B"/>
    <w:rsid w:val="007B4891"/>
    <w:rsid w:val="007C2F37"/>
    <w:rsid w:val="007C5199"/>
    <w:rsid w:val="007D3757"/>
    <w:rsid w:val="007D6B44"/>
    <w:rsid w:val="007E13F0"/>
    <w:rsid w:val="007F0ED2"/>
    <w:rsid w:val="007F39E9"/>
    <w:rsid w:val="007F55D7"/>
    <w:rsid w:val="00800717"/>
    <w:rsid w:val="008008C8"/>
    <w:rsid w:val="00804921"/>
    <w:rsid w:val="008076F1"/>
    <w:rsid w:val="0081183D"/>
    <w:rsid w:val="008134C3"/>
    <w:rsid w:val="00814D42"/>
    <w:rsid w:val="008245D8"/>
    <w:rsid w:val="00826E2A"/>
    <w:rsid w:val="0083100E"/>
    <w:rsid w:val="00842C54"/>
    <w:rsid w:val="00844CC1"/>
    <w:rsid w:val="008517E4"/>
    <w:rsid w:val="00854B23"/>
    <w:rsid w:val="0086515C"/>
    <w:rsid w:val="00877571"/>
    <w:rsid w:val="00877E3A"/>
    <w:rsid w:val="00881DB5"/>
    <w:rsid w:val="008A06D6"/>
    <w:rsid w:val="008A6FCE"/>
    <w:rsid w:val="008C64EC"/>
    <w:rsid w:val="008D25F4"/>
    <w:rsid w:val="008D3C18"/>
    <w:rsid w:val="008E4150"/>
    <w:rsid w:val="008E61EC"/>
    <w:rsid w:val="008E7D57"/>
    <w:rsid w:val="00902756"/>
    <w:rsid w:val="0091520C"/>
    <w:rsid w:val="009219C6"/>
    <w:rsid w:val="009329B2"/>
    <w:rsid w:val="00940F22"/>
    <w:rsid w:val="009424E7"/>
    <w:rsid w:val="00944F07"/>
    <w:rsid w:val="0094776C"/>
    <w:rsid w:val="00953AF1"/>
    <w:rsid w:val="00955D16"/>
    <w:rsid w:val="0097720E"/>
    <w:rsid w:val="00983331"/>
    <w:rsid w:val="00983AF6"/>
    <w:rsid w:val="00983F00"/>
    <w:rsid w:val="009910D4"/>
    <w:rsid w:val="009B2DC1"/>
    <w:rsid w:val="009B5CA8"/>
    <w:rsid w:val="009B728C"/>
    <w:rsid w:val="009C1E35"/>
    <w:rsid w:val="009C422B"/>
    <w:rsid w:val="009C6CC1"/>
    <w:rsid w:val="009D156F"/>
    <w:rsid w:val="009D2385"/>
    <w:rsid w:val="009D56C5"/>
    <w:rsid w:val="009D59AD"/>
    <w:rsid w:val="009E4A45"/>
    <w:rsid w:val="009F0A14"/>
    <w:rsid w:val="009F6498"/>
    <w:rsid w:val="00A006EE"/>
    <w:rsid w:val="00A00BA8"/>
    <w:rsid w:val="00A02857"/>
    <w:rsid w:val="00A15511"/>
    <w:rsid w:val="00A4136F"/>
    <w:rsid w:val="00A46A74"/>
    <w:rsid w:val="00A543E1"/>
    <w:rsid w:val="00A557E9"/>
    <w:rsid w:val="00A82F2A"/>
    <w:rsid w:val="00A83F2A"/>
    <w:rsid w:val="00A86EA9"/>
    <w:rsid w:val="00A9072D"/>
    <w:rsid w:val="00A936C0"/>
    <w:rsid w:val="00AA2FB1"/>
    <w:rsid w:val="00AA6600"/>
    <w:rsid w:val="00AB3782"/>
    <w:rsid w:val="00AC762F"/>
    <w:rsid w:val="00AD1AE4"/>
    <w:rsid w:val="00AE1DF4"/>
    <w:rsid w:val="00AF1DAA"/>
    <w:rsid w:val="00B048FD"/>
    <w:rsid w:val="00B129C2"/>
    <w:rsid w:val="00B25C88"/>
    <w:rsid w:val="00B40816"/>
    <w:rsid w:val="00B44188"/>
    <w:rsid w:val="00B45E6D"/>
    <w:rsid w:val="00B720C5"/>
    <w:rsid w:val="00B76EDB"/>
    <w:rsid w:val="00B84328"/>
    <w:rsid w:val="00B8633B"/>
    <w:rsid w:val="00B93A91"/>
    <w:rsid w:val="00BA4B59"/>
    <w:rsid w:val="00BB53C7"/>
    <w:rsid w:val="00BB6B4F"/>
    <w:rsid w:val="00BC0D84"/>
    <w:rsid w:val="00BC4474"/>
    <w:rsid w:val="00BC6813"/>
    <w:rsid w:val="00BD47FE"/>
    <w:rsid w:val="00BD5368"/>
    <w:rsid w:val="00BE0A6A"/>
    <w:rsid w:val="00BE310F"/>
    <w:rsid w:val="00BF0F06"/>
    <w:rsid w:val="00BF50C6"/>
    <w:rsid w:val="00BF5A66"/>
    <w:rsid w:val="00BF7499"/>
    <w:rsid w:val="00C11C08"/>
    <w:rsid w:val="00C12266"/>
    <w:rsid w:val="00C15CA9"/>
    <w:rsid w:val="00C1736B"/>
    <w:rsid w:val="00C24C97"/>
    <w:rsid w:val="00C2702D"/>
    <w:rsid w:val="00C30B24"/>
    <w:rsid w:val="00C334F8"/>
    <w:rsid w:val="00C346EE"/>
    <w:rsid w:val="00C34FBA"/>
    <w:rsid w:val="00C37E02"/>
    <w:rsid w:val="00C40D54"/>
    <w:rsid w:val="00C46F86"/>
    <w:rsid w:val="00C47AA9"/>
    <w:rsid w:val="00C77ACD"/>
    <w:rsid w:val="00CA140F"/>
    <w:rsid w:val="00CA7189"/>
    <w:rsid w:val="00CC0303"/>
    <w:rsid w:val="00CC0C3F"/>
    <w:rsid w:val="00CD6287"/>
    <w:rsid w:val="00CE1952"/>
    <w:rsid w:val="00CE6D77"/>
    <w:rsid w:val="00CE6FC1"/>
    <w:rsid w:val="00CE7C2E"/>
    <w:rsid w:val="00CF839B"/>
    <w:rsid w:val="00D055C2"/>
    <w:rsid w:val="00D15C09"/>
    <w:rsid w:val="00D211DF"/>
    <w:rsid w:val="00D249AE"/>
    <w:rsid w:val="00D27238"/>
    <w:rsid w:val="00D27A95"/>
    <w:rsid w:val="00D323E2"/>
    <w:rsid w:val="00D34582"/>
    <w:rsid w:val="00D46157"/>
    <w:rsid w:val="00D47B7D"/>
    <w:rsid w:val="00D50D96"/>
    <w:rsid w:val="00D52DFB"/>
    <w:rsid w:val="00D6005B"/>
    <w:rsid w:val="00D60BE8"/>
    <w:rsid w:val="00D704E2"/>
    <w:rsid w:val="00D84037"/>
    <w:rsid w:val="00D9068B"/>
    <w:rsid w:val="00D9734D"/>
    <w:rsid w:val="00DA1114"/>
    <w:rsid w:val="00DC1B30"/>
    <w:rsid w:val="00DD0D44"/>
    <w:rsid w:val="00DD4BEE"/>
    <w:rsid w:val="00DD6884"/>
    <w:rsid w:val="00DE6F30"/>
    <w:rsid w:val="00DE7FC7"/>
    <w:rsid w:val="00E03BDF"/>
    <w:rsid w:val="00E04F35"/>
    <w:rsid w:val="00E13076"/>
    <w:rsid w:val="00E2118B"/>
    <w:rsid w:val="00E35D07"/>
    <w:rsid w:val="00E4464E"/>
    <w:rsid w:val="00E51EA0"/>
    <w:rsid w:val="00E5741F"/>
    <w:rsid w:val="00E6313D"/>
    <w:rsid w:val="00E65BA7"/>
    <w:rsid w:val="00E73095"/>
    <w:rsid w:val="00E74612"/>
    <w:rsid w:val="00E74E87"/>
    <w:rsid w:val="00E757E8"/>
    <w:rsid w:val="00E8324B"/>
    <w:rsid w:val="00E86B95"/>
    <w:rsid w:val="00E87ACC"/>
    <w:rsid w:val="00E919A1"/>
    <w:rsid w:val="00E9767B"/>
    <w:rsid w:val="00EA055D"/>
    <w:rsid w:val="00EA7FFA"/>
    <w:rsid w:val="00EB49BD"/>
    <w:rsid w:val="00EB545E"/>
    <w:rsid w:val="00EC51B1"/>
    <w:rsid w:val="00EC5DA3"/>
    <w:rsid w:val="00EE4DF5"/>
    <w:rsid w:val="00EE5D8C"/>
    <w:rsid w:val="00EE7FEA"/>
    <w:rsid w:val="00EF1A81"/>
    <w:rsid w:val="00EF33AD"/>
    <w:rsid w:val="00F06486"/>
    <w:rsid w:val="00F12902"/>
    <w:rsid w:val="00F13A4B"/>
    <w:rsid w:val="00F21A8A"/>
    <w:rsid w:val="00F25FD5"/>
    <w:rsid w:val="00F4296A"/>
    <w:rsid w:val="00F4687D"/>
    <w:rsid w:val="00F46C7F"/>
    <w:rsid w:val="00F537F7"/>
    <w:rsid w:val="00F64442"/>
    <w:rsid w:val="00F64995"/>
    <w:rsid w:val="00F66515"/>
    <w:rsid w:val="00F6714C"/>
    <w:rsid w:val="00F70E94"/>
    <w:rsid w:val="00F828A9"/>
    <w:rsid w:val="00F83F1C"/>
    <w:rsid w:val="00F9282C"/>
    <w:rsid w:val="00F9664C"/>
    <w:rsid w:val="00FA06B6"/>
    <w:rsid w:val="00FA30D2"/>
    <w:rsid w:val="00FB31D7"/>
    <w:rsid w:val="00FC0FA0"/>
    <w:rsid w:val="00FC1CE8"/>
    <w:rsid w:val="00FC1F8A"/>
    <w:rsid w:val="00FD2360"/>
    <w:rsid w:val="00FF37BF"/>
    <w:rsid w:val="00FF5779"/>
    <w:rsid w:val="086DB233"/>
    <w:rsid w:val="0AD705A0"/>
    <w:rsid w:val="0BF34C69"/>
    <w:rsid w:val="14198D47"/>
    <w:rsid w:val="16B7BD5E"/>
    <w:rsid w:val="1ABF16D3"/>
    <w:rsid w:val="1B6F11C7"/>
    <w:rsid w:val="1BC36445"/>
    <w:rsid w:val="1C641BA5"/>
    <w:rsid w:val="1D0AE228"/>
    <w:rsid w:val="1F0AF7F8"/>
    <w:rsid w:val="2B416D92"/>
    <w:rsid w:val="380DD19F"/>
    <w:rsid w:val="3DDC8D99"/>
    <w:rsid w:val="4DCAF7C0"/>
    <w:rsid w:val="5581D118"/>
    <w:rsid w:val="5CCC2ACF"/>
    <w:rsid w:val="5DA0BBE8"/>
    <w:rsid w:val="5E360580"/>
    <w:rsid w:val="684D7B71"/>
    <w:rsid w:val="6C3A412B"/>
    <w:rsid w:val="70B95FD0"/>
    <w:rsid w:val="71078B30"/>
    <w:rsid w:val="7299FB93"/>
    <w:rsid w:val="72A35B91"/>
    <w:rsid w:val="7500E03F"/>
    <w:rsid w:val="758CD0F3"/>
    <w:rsid w:val="7EDFF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00209"/>
  <w15:chartTrackingRefBased/>
  <w15:docId w15:val="{1F16E207-C48B-4B6A-9CB1-85C65B40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13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3DB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A3DB3"/>
  </w:style>
  <w:style w:type="paragraph" w:styleId="Voettekst">
    <w:name w:val="footer"/>
    <w:basedOn w:val="Standaard"/>
    <w:link w:val="VoettekstChar"/>
    <w:uiPriority w:val="99"/>
    <w:unhideWhenUsed/>
    <w:rsid w:val="003A3DB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A3DB3"/>
  </w:style>
  <w:style w:type="character" w:customStyle="1" w:styleId="Kop1Char">
    <w:name w:val="Kop 1 Char"/>
    <w:basedOn w:val="Standaardalinea-lettertype"/>
    <w:link w:val="Kop1"/>
    <w:uiPriority w:val="9"/>
    <w:rsid w:val="007E13F0"/>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7E13F0"/>
    <w:pPr>
      <w:spacing w:after="0" w:line="240" w:lineRule="auto"/>
    </w:pPr>
  </w:style>
  <w:style w:type="character" w:styleId="Hyperlink">
    <w:name w:val="Hyperlink"/>
    <w:basedOn w:val="Standaardalinea-lettertype"/>
    <w:uiPriority w:val="99"/>
    <w:unhideWhenUsed/>
    <w:rsid w:val="00576ACE"/>
    <w:rPr>
      <w:color w:val="0563C1" w:themeColor="hyperlink"/>
      <w:u w:val="single"/>
    </w:rPr>
  </w:style>
  <w:style w:type="character" w:styleId="Onopgelostemelding">
    <w:name w:val="Unresolved Mention"/>
    <w:basedOn w:val="Standaardalinea-lettertype"/>
    <w:uiPriority w:val="99"/>
    <w:semiHidden/>
    <w:unhideWhenUsed/>
    <w:rsid w:val="00576ACE"/>
    <w:rPr>
      <w:color w:val="605E5C"/>
      <w:shd w:val="clear" w:color="auto" w:fill="E1DFDD"/>
    </w:rPr>
  </w:style>
  <w:style w:type="paragraph" w:styleId="Voetnoottekst">
    <w:name w:val="footnote text"/>
    <w:basedOn w:val="Standaard"/>
    <w:link w:val="VoetnoottekstChar"/>
    <w:uiPriority w:val="99"/>
    <w:semiHidden/>
    <w:unhideWhenUsed/>
    <w:rsid w:val="0053385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385C"/>
    <w:rPr>
      <w:sz w:val="20"/>
      <w:szCs w:val="20"/>
    </w:rPr>
  </w:style>
  <w:style w:type="character" w:styleId="Voetnootmarkering">
    <w:name w:val="footnote reference"/>
    <w:basedOn w:val="Standaardalinea-lettertype"/>
    <w:uiPriority w:val="99"/>
    <w:semiHidden/>
    <w:unhideWhenUsed/>
    <w:rsid w:val="0053385C"/>
    <w:rPr>
      <w:vertAlign w:val="superscript"/>
    </w:rPr>
  </w:style>
  <w:style w:type="character" w:styleId="Verwijzingopmerking">
    <w:name w:val="annotation reference"/>
    <w:basedOn w:val="Standaardalinea-lettertype"/>
    <w:uiPriority w:val="99"/>
    <w:semiHidden/>
    <w:unhideWhenUsed/>
    <w:rsid w:val="00660D20"/>
    <w:rPr>
      <w:sz w:val="16"/>
      <w:szCs w:val="16"/>
    </w:rPr>
  </w:style>
  <w:style w:type="paragraph" w:styleId="Tekstopmerking">
    <w:name w:val="annotation text"/>
    <w:basedOn w:val="Standaard"/>
    <w:link w:val="TekstopmerkingChar"/>
    <w:uiPriority w:val="99"/>
    <w:unhideWhenUsed/>
    <w:rsid w:val="00660D20"/>
    <w:pPr>
      <w:spacing w:line="240" w:lineRule="auto"/>
    </w:pPr>
    <w:rPr>
      <w:sz w:val="20"/>
      <w:szCs w:val="20"/>
    </w:rPr>
  </w:style>
  <w:style w:type="character" w:customStyle="1" w:styleId="TekstopmerkingChar">
    <w:name w:val="Tekst opmerking Char"/>
    <w:basedOn w:val="Standaardalinea-lettertype"/>
    <w:link w:val="Tekstopmerking"/>
    <w:uiPriority w:val="99"/>
    <w:rsid w:val="00660D20"/>
    <w:rPr>
      <w:sz w:val="20"/>
      <w:szCs w:val="20"/>
    </w:rPr>
  </w:style>
  <w:style w:type="paragraph" w:styleId="Onderwerpvanopmerking">
    <w:name w:val="annotation subject"/>
    <w:basedOn w:val="Tekstopmerking"/>
    <w:next w:val="Tekstopmerking"/>
    <w:link w:val="OnderwerpvanopmerkingChar"/>
    <w:uiPriority w:val="99"/>
    <w:semiHidden/>
    <w:unhideWhenUsed/>
    <w:rsid w:val="00660D20"/>
    <w:rPr>
      <w:b/>
      <w:bCs/>
    </w:rPr>
  </w:style>
  <w:style w:type="character" w:customStyle="1" w:styleId="OnderwerpvanopmerkingChar">
    <w:name w:val="Onderwerp van opmerking Char"/>
    <w:basedOn w:val="TekstopmerkingChar"/>
    <w:link w:val="Onderwerpvanopmerking"/>
    <w:uiPriority w:val="99"/>
    <w:semiHidden/>
    <w:rsid w:val="00660D20"/>
    <w:rPr>
      <w:b/>
      <w:bCs/>
      <w:sz w:val="20"/>
      <w:szCs w:val="20"/>
    </w:rPr>
  </w:style>
  <w:style w:type="character" w:styleId="GevolgdeHyperlink">
    <w:name w:val="FollowedHyperlink"/>
    <w:basedOn w:val="Standaardalinea-lettertype"/>
    <w:uiPriority w:val="99"/>
    <w:semiHidden/>
    <w:unhideWhenUsed/>
    <w:rsid w:val="004B6753"/>
    <w:rPr>
      <w:color w:val="954F72" w:themeColor="followedHyperlink"/>
      <w:u w:val="single"/>
    </w:rPr>
  </w:style>
  <w:style w:type="paragraph" w:styleId="Lijstalinea">
    <w:name w:val="List Paragraph"/>
    <w:basedOn w:val="Standaard"/>
    <w:uiPriority w:val="34"/>
    <w:qFormat/>
    <w:rsid w:val="004C4D43"/>
    <w:pPr>
      <w:spacing w:after="0" w:line="240" w:lineRule="auto"/>
      <w:ind w:left="720"/>
    </w:pPr>
    <w:rPr>
      <w:rFonts w:ascii="Calibri" w:hAnsi="Calibri" w:cs="Calibri"/>
    </w:rPr>
  </w:style>
  <w:style w:type="paragraph" w:styleId="Revisie">
    <w:name w:val="Revision"/>
    <w:hidden/>
    <w:uiPriority w:val="99"/>
    <w:semiHidden/>
    <w:rsid w:val="004C4D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863630">
      <w:bodyDiv w:val="1"/>
      <w:marLeft w:val="0"/>
      <w:marRight w:val="0"/>
      <w:marTop w:val="0"/>
      <w:marBottom w:val="0"/>
      <w:divBdr>
        <w:top w:val="none" w:sz="0" w:space="0" w:color="auto"/>
        <w:left w:val="none" w:sz="0" w:space="0" w:color="auto"/>
        <w:bottom w:val="none" w:sz="0" w:space="0" w:color="auto"/>
        <w:right w:val="none" w:sz="0" w:space="0" w:color="auto"/>
      </w:divBdr>
    </w:div>
    <w:div w:id="1997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health/system/files/2019-10/gmcells_qa_en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health/system/files/2019-10/gmcells_qa_en_0.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9" ma:contentTypeDescription="Een nieuw document maken." ma:contentTypeScope="" ma:versionID="0bde5f302e39a0fb16103d721b236121">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b1e8e48072f49fa861c836fb52826b52"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2CF3A-1A28-4A24-888F-C3620084A622}">
  <ds:schemaRefs>
    <ds:schemaRef ds:uri="http://schemas.microsoft.com/office/2006/metadata/properties"/>
    <ds:schemaRef ds:uri="http://schemas.microsoft.com/office/infopath/2007/PartnerControls"/>
    <ds:schemaRef ds:uri="http://schemas.microsoft.com/sharepoint/v3"/>
    <ds:schemaRef ds:uri="0577e6a0-5f74-4659-a81a-c7bdc984432d"/>
    <ds:schemaRef ds:uri="f5c8fe0e-f8db-4fac-9fd3-e69469f9c90b"/>
  </ds:schemaRefs>
</ds:datastoreItem>
</file>

<file path=customXml/itemProps2.xml><?xml version="1.0" encoding="utf-8"?>
<ds:datastoreItem xmlns:ds="http://schemas.openxmlformats.org/officeDocument/2006/customXml" ds:itemID="{E90D666B-1938-4DA7-9542-14D05470B6EE}">
  <ds:schemaRefs>
    <ds:schemaRef ds:uri="http://schemas.openxmlformats.org/officeDocument/2006/bibliography"/>
  </ds:schemaRefs>
</ds:datastoreItem>
</file>

<file path=customXml/itemProps3.xml><?xml version="1.0" encoding="utf-8"?>
<ds:datastoreItem xmlns:ds="http://schemas.openxmlformats.org/officeDocument/2006/customXml" ds:itemID="{FA0AD1A6-6463-47E5-ADFF-9642991A7C4D}">
  <ds:schemaRefs>
    <ds:schemaRef ds:uri="http://schemas.microsoft.com/sharepoint/v3/contenttype/forms"/>
  </ds:schemaRefs>
</ds:datastoreItem>
</file>

<file path=customXml/itemProps4.xml><?xml version="1.0" encoding="utf-8"?>
<ds:datastoreItem xmlns:ds="http://schemas.openxmlformats.org/officeDocument/2006/customXml" ds:itemID="{D3EAB25D-4AE4-4D85-A1B4-1B6DC46C0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9176</Characters>
  <Application>Microsoft Office Word</Application>
  <DocSecurity>0</DocSecurity>
  <Lines>152</Lines>
  <Paragraphs>74</Paragraphs>
  <ScaleCrop>false</ScaleCrop>
  <HeadingPairs>
    <vt:vector size="6" baseType="variant">
      <vt:variant>
        <vt:lpstr>Titel</vt:lpstr>
      </vt:variant>
      <vt:variant>
        <vt:i4>1</vt:i4>
      </vt:variant>
      <vt:variant>
        <vt:lpstr>Koppen</vt:lpstr>
      </vt:variant>
      <vt:variant>
        <vt:i4>1</vt:i4>
      </vt:variant>
      <vt:variant>
        <vt:lpstr>Title</vt:lpstr>
      </vt:variant>
      <vt:variant>
        <vt:i4>1</vt:i4>
      </vt:variant>
    </vt:vector>
  </HeadingPairs>
  <TitlesOfParts>
    <vt:vector size="3" baseType="lpstr">
      <vt:lpstr/>
      <vt:lpstr>Categorieën ‘uitbreiding medische indicatie’ van een markttoegelaten product</vt:lpstr>
      <vt:lpstr/>
    </vt:vector>
  </TitlesOfParts>
  <Company/>
  <LinksUpToDate>false</LinksUpToDate>
  <CharactersWithSpaces>10657</CharactersWithSpaces>
  <SharedDoc>false</SharedDoc>
  <HLinks>
    <vt:vector size="12" baseType="variant">
      <vt:variant>
        <vt:i4>6684687</vt:i4>
      </vt:variant>
      <vt:variant>
        <vt:i4>3</vt:i4>
      </vt:variant>
      <vt:variant>
        <vt:i4>0</vt:i4>
      </vt:variant>
      <vt:variant>
        <vt:i4>5</vt:i4>
      </vt:variant>
      <vt:variant>
        <vt:lpwstr>https://ec.europa.eu/health/system/files/2019-10/gmcells_qa_en_0.pdf</vt:lpwstr>
      </vt:variant>
      <vt:variant>
        <vt:lpwstr/>
      </vt:variant>
      <vt:variant>
        <vt:i4>6684687</vt:i4>
      </vt:variant>
      <vt:variant>
        <vt:i4>0</vt:i4>
      </vt:variant>
      <vt:variant>
        <vt:i4>0</vt:i4>
      </vt:variant>
      <vt:variant>
        <vt:i4>5</vt:i4>
      </vt:variant>
      <vt:variant>
        <vt:lpwstr>https://ec.europa.eu/health/system/files/2019-10/gmcells_qa_en_0.pdf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te Riet-Schulte</dc:creator>
  <cp:keywords/>
  <dc:description/>
  <cp:lastModifiedBy>Bilgin, M. (Marie-Louise) - DGMI</cp:lastModifiedBy>
  <cp:revision>3</cp:revision>
  <dcterms:created xsi:type="dcterms:W3CDTF">2023-10-27T09:50:00Z</dcterms:created>
  <dcterms:modified xsi:type="dcterms:W3CDTF">2023-10-27T09:51:00Z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0x010100FF634CA3F5682C418397C6E4414BCDE3</vt:lpwstr>
  </property>
  <property fmtid="{D5CDD505-2E9C-101B-9397-08002B2CF9AE}" pid="3" name="MediaServiceImageTags">
    <vt:lpwstr/>
  </property>
</Properties>
</file>